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Pharmaceutical Pricing Portfolio</w:t>
      </w:r>
    </w:p>
    <w:p>
      <w:pPr>
        <w:spacing w:before="0" w:after="240"/>
        <w:jc w:val="center"/>
      </w:pPr>
      <w:r>
        <w:rPr>
          <w:rFonts w:ascii="Arial" w:cs="Arial" w:eastAsia="Arial" w:hAnsi="Arial"/>
          <w:b/>
          <w:bCs/>
          <w:color w:val="1F3864"/>
          <w:sz w:val="56"/>
          <w:szCs w:val="56"/>
        </w:rPr>
        <w:t xml:space="preserve">Analysis &amp; Market Intelligence</w:t>
      </w:r>
    </w:p>
    <w:p>
      <w:pPr>
        <w:spacing w:before="0" w:after="480"/>
        <w:jc w:val="center"/>
      </w:pPr>
      <w:r>
        <w:rPr>
          <w:rFonts w:ascii="Arial" w:cs="Arial" w:eastAsia="Arial" w:hAnsi="Arial"/>
          <w:color w:val="2E75B6"/>
          <w:sz w:val="30"/>
          <w:szCs w:val="30"/>
        </w:rPr>
        <w:t xml:space="preserve">Tableau Dashboard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F3864" w:val="clear"/>
            <w:tcMar>
              <w:top w:type="dxa" w:w="200"/>
              <w:left w:type="dxa" w:w="200"/>
              <w:bottom w:type="dxa" w:w="200"/>
              <w:right w:type="dxa" w:w="200"/>
            </w:tcMar>
          </w:tcPr>
          <w:p>
            <w:pPr>
              <w:jc w:val="center"/>
            </w:pPr>
            <w:r>
              <w:rPr>
                <w:rFonts w:ascii="Arial" w:cs="Arial" w:eastAsia="Arial" w:hAnsi="Arial"/>
                <w:b/>
                <w:bCs/>
                <w:color w:val="FFFFFF"/>
                <w:sz w:val="20"/>
                <w:szCs w:val="20"/>
              </w:rPr>
              <w:t xml:space="preserve">Dataset</w:t>
            </w:r>
          </w:p>
          <w:p>
            <w:pPr>
              <w:jc w:val="center"/>
            </w:pPr>
            <w:r>
              <w:rPr>
                <w:rFonts w:ascii="Arial" w:cs="Arial" w:eastAsia="Arial" w:hAnsi="Arial"/>
                <w:b/>
                <w:bCs/>
                <w:color w:val="FAC775"/>
                <w:sz w:val="28"/>
                <w:szCs w:val="28"/>
              </w:rPr>
              <w:t xml:space="preserve">109,552 rows</w:t>
            </w:r>
          </w:p>
          <w:p>
            <w:pPr>
              <w:jc w:val="center"/>
            </w:pPr>
            <w:r>
              <w:rPr>
                <w:rFonts w:ascii="Arial" w:cs="Arial" w:eastAsia="Arial" w:hAnsi="Arial"/>
                <w:color w:val="FFFFFF"/>
                <w:sz w:val="18"/>
                <w:szCs w:val="18"/>
              </w:rPr>
              <w:t xml:space="preserve">Master pharma dataset</w:t>
            </w:r>
          </w:p>
        </w:tc>
        <w:tc>
          <w:tcPr>
            <w:tcW w:type="dxa" w:w="4680"/>
            <w:tcBorders>
              <w:top w:val="none" w:color="FFFFFF" w:sz="0"/>
              <w:left w:val="none" w:color="FFFFFF" w:sz="0"/>
              <w:bottom w:val="none" w:color="FFFFFF" w:sz="0"/>
              <w:right w:val="none" w:color="FFFFFF" w:sz="0"/>
            </w:tcBorders>
            <w:shd w:fill="0F6E56" w:val="clear"/>
            <w:tcMar>
              <w:top w:type="dxa" w:w="200"/>
              <w:left w:type="dxa" w:w="200"/>
              <w:bottom w:type="dxa" w:w="200"/>
              <w:right w:type="dxa" w:w="200"/>
            </w:tcMar>
          </w:tcPr>
          <w:p>
            <w:pPr>
              <w:jc w:val="center"/>
            </w:pPr>
            <w:r>
              <w:rPr>
                <w:rFonts w:ascii="Arial" w:cs="Arial" w:eastAsia="Arial" w:hAnsi="Arial"/>
                <w:b/>
                <w:bCs/>
                <w:color w:val="FFFFFF"/>
                <w:sz w:val="20"/>
                <w:szCs w:val="20"/>
              </w:rPr>
              <w:t xml:space="preserve">Portfolio</w:t>
            </w:r>
          </w:p>
          <w:p>
            <w:pPr>
              <w:jc w:val="center"/>
            </w:pPr>
            <w:r>
              <w:rPr>
                <w:rFonts w:ascii="Arial" w:cs="Arial" w:eastAsia="Arial" w:hAnsi="Arial"/>
                <w:b/>
                <w:bCs/>
                <w:color w:val="FAC775"/>
                <w:sz w:val="28"/>
                <w:szCs w:val="28"/>
              </w:rPr>
              <w:t xml:space="preserve">220 Drugs</w:t>
            </w:r>
          </w:p>
          <w:p>
            <w:pPr>
              <w:jc w:val="center"/>
            </w:pPr>
            <w:r>
              <w:rPr>
                <w:rFonts w:ascii="Arial" w:cs="Arial" w:eastAsia="Arial" w:hAnsi="Arial"/>
                <w:color w:val="FFFFFF"/>
                <w:sz w:val="18"/>
                <w:szCs w:val="18"/>
              </w:rPr>
              <w:t xml:space="preserve">Across 6 quarters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85FA5"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Period</w:t>
            </w:r>
          </w:p>
          <w:p>
            <w:pPr>
              <w:jc w:val="center"/>
            </w:pPr>
            <w:r>
              <w:rPr>
                <w:rFonts w:ascii="Arial" w:cs="Arial" w:eastAsia="Arial" w:hAnsi="Arial"/>
                <w:b/>
                <w:bCs/>
                <w:color w:val="FFFFFF"/>
                <w:sz w:val="22"/>
                <w:szCs w:val="22"/>
              </w:rPr>
              <w:t xml:space="preserve">2023 Q1 - 2024 Q4</w:t>
            </w:r>
          </w:p>
        </w:tc>
        <w:tc>
          <w:tcPr>
            <w:tcW w:type="dxa" w:w="3120"/>
            <w:tcBorders>
              <w:top w:val="none" w:color="FFFFFF" w:sz="0"/>
              <w:left w:val="none" w:color="FFFFFF" w:sz="0"/>
              <w:bottom w:val="none" w:color="FFFFFF" w:sz="0"/>
              <w:right w:val="none" w:color="FFFFFF" w:sz="0"/>
            </w:tcBorders>
            <w:shd w:fill="BA7517"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Tool</w:t>
            </w:r>
          </w:p>
          <w:p>
            <w:pPr>
              <w:jc w:val="center"/>
            </w:pPr>
            <w:r>
              <w:rPr>
                <w:rFonts w:ascii="Arial" w:cs="Arial" w:eastAsia="Arial" w:hAnsi="Arial"/>
                <w:b/>
                <w:bCs/>
                <w:color w:val="FFFFFF"/>
                <w:sz w:val="22"/>
                <w:szCs w:val="22"/>
              </w:rPr>
              <w:t xml:space="preserve">Tableau Desktop</w:t>
            </w:r>
          </w:p>
        </w:tc>
        <w:tc>
          <w:tcPr>
            <w:tcW w:type="dxa" w:w="3120"/>
            <w:tcBorders>
              <w:top w:val="none" w:color="FFFFFF" w:sz="0"/>
              <w:left w:val="none" w:color="FFFFFF" w:sz="0"/>
              <w:bottom w:val="none" w:color="FFFFFF" w:sz="0"/>
              <w:right w:val="none" w:color="FFFFFF" w:sz="0"/>
            </w:tcBorders>
            <w:shd w:fill="534AB7"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Charts</w:t>
            </w:r>
          </w:p>
          <w:p>
            <w:pPr>
              <w:jc w:val="center"/>
            </w:pPr>
            <w:r>
              <w:rPr>
                <w:rFonts w:ascii="Arial" w:cs="Arial" w:eastAsia="Arial" w:hAnsi="Arial"/>
                <w:b/>
                <w:bCs/>
                <w:color w:val="FFFFFF"/>
                <w:sz w:val="22"/>
                <w:szCs w:val="22"/>
              </w:rPr>
              <w:t xml:space="preserve">6 Visualizations</w:t>
            </w:r>
          </w:p>
        </w:tc>
      </w:tr>
    </w:tbl>
    <w:p>
      <w:pPr>
        <w:spacing w:before="600" w:after="0"/>
      </w:pPr>
      <w:r>
        <w:t xml:space="preserve"/>
      </w:r>
    </w:p>
    <w:p>
      <w:pPr>
        <w:jc w:val="center"/>
      </w:pPr>
      <w:r>
        <w:rPr>
          <w:rFonts w:ascii="Arial" w:cs="Arial" w:eastAsia="Arial" w:hAnsi="Arial"/>
          <w:color w:val="595959"/>
          <w:sz w:val="22"/>
          <w:szCs w:val="22"/>
        </w:rPr>
        <w:t xml:space="preserve">Prepared by: Thrivikram Kotharu</w:t>
      </w:r>
    </w:p>
    <w:p>
      <w:pPr>
        <w:jc w:val="center"/>
      </w:pPr>
      <w:r>
        <w:rPr>
          <w:rFonts w:ascii="Arial" w:cs="Arial" w:eastAsia="Arial" w:hAnsi="Arial"/>
          <w:color w:val="595959"/>
          <w:sz w:val="20"/>
          <w:szCs w:val="20"/>
        </w:rPr>
        <w:t xml:space="preserve">MS Information Systems | Central Michigan University | GPA 3.8</w:t>
      </w:r>
    </w:p>
    <w:p>
      <w:pPr>
        <w:jc w:val="center"/>
        <w:spacing w:before="240" w:after="80"/>
      </w:pPr>
      <w:r>
        <w:rPr>
          <w:rFonts w:ascii="Arial" w:cs="Arial" w:eastAsia="Arial" w:hAnsi="Arial"/>
          <w:color w:val="595959"/>
          <w:sz w:val="20"/>
          <w:szCs w:val="20"/>
        </w:rPr>
        <w:t xml:space="preserve">Live Dashboard:</w:t>
      </w:r>
    </w:p>
    <w:p>
      <w:pPr>
        <w:jc w:val="center"/>
        <w:spacing w:before="60" w:after="80"/>
      </w:pPr>
      <w:hyperlink r:id="rId16" w:history="1">
        <w:r>
          <w:rPr>
            <w:rStyle w:val="Hyperlink"/>
            <w:rFonts w:ascii="Arial" w:cs="Arial" w:eastAsia="Arial" w:hAnsi="Arial"/>
            <w:color w:val="185FA5"/>
            <w:sz w:val="20"/>
            <w:szCs w:val="20"/>
            <w:u w:val="single"/>
          </w:rPr>
          <w:t>public.tableau.com/views/PharmaceuticalPricingPortfolioAnalysisMarketIntelligence/Dashboard1</w:t>
        </w:r>
      </w:hyperlink>
    </w:p>
    <w:p>
      <w:r>
        <w:br w:type="page"/>
      </w:r>
    </w:p>
    <w:p>
      <w:pPr>
        <w:pStyle w:val="Heading1"/>
        <w:spacing w:before="360" w:after="120"/>
      </w:pPr>
      <w:r>
        <w:rPr>
          <w:rFonts w:ascii="Arial" w:cs="Arial" w:eastAsia="Arial" w:hAnsi="Arial"/>
          <w:b/>
          <w:bCs/>
          <w:color w:val="1F3864"/>
          <w:sz w:val="36"/>
          <w:szCs w:val="36"/>
        </w:rPr>
        <w:t xml:space="preserve">Live Dashboard</w:t>
      </w:r>
    </w:p>
    <w:p>
      <w:pPr>
        <w:pBdr>
          <w:left w:val="single" w:sz="24" w:space="6" w:color="185FA5"/>
        </w:pBdr>
        <w:spacing w:before="120" w:after="80" w:line="320"/>
        <w:ind w:left="280"/>
      </w:pPr>
      <w:r>
        <w:rPr>
          <w:rFonts w:ascii="Arial" w:cs="Arial" w:eastAsia="Arial" w:hAnsi="Arial"/>
          <w:color w:val="1F3864"/>
          <w:sz w:val="22"/>
          <w:szCs w:val="22"/>
        </w:rPr>
        <w:t xml:space="preserve">This dashboard is published on Tableau Public and can be viewed interactively at the link below. All charts, filters, and tooltips are fully functional in the live version.</w:t>
      </w:r>
    </w:p>
    <w:p>
      <w:pPr>
        <w:pBdr>
          <w:left w:val="single" w:sz="24" w:space="6" w:color="185FA5"/>
        </w:pBdr>
        <w:spacing w:before="80" w:after="80" w:line="300"/>
        <w:ind w:left="280"/>
      </w:pPr>
      <w:r>
        <w:rPr>
          <w:rFonts w:ascii="Arial" w:cs="Arial" w:eastAsia="Arial" w:hAnsi="Arial"/>
          <w:b/>
          <w:color w:val="404040"/>
          <w:sz w:val="20"/>
          <w:szCs w:val="20"/>
        </w:rPr>
        <w:t xml:space="preserve">Tableau Public: </w:t>
      </w:r>
      <w:hyperlink r:id="rId16" w:history="1">
        <w:r>
          <w:rPr>
            <w:rFonts w:ascii="Arial" w:cs="Arial" w:eastAsia="Arial" w:hAnsi="Arial"/>
            <w:color w:val="185FA5"/>
            <w:sz w:val="20"/>
            <w:szCs w:val="20"/>
            <w:u w:val="single"/>
          </w:rPr>
          <w:t>public.tableau.com/views/PharmaceuticalPricingPortfolioAnalysisMarketIntelligence/Dashboard1</w:t>
        </w:r>
      </w:hyperlink>
    </w:p>
    <w:p>
      <w:pPr>
        <w:pBdr>
          <w:left w:val="single" w:sz="24" w:space="6" w:color="185FA5"/>
        </w:pBdr>
        <w:spacing w:before="80" w:after="200" w:line="300"/>
        <w:ind w:left="280"/>
      </w:pPr>
      <w:r>
        <w:rPr>
          <w:rFonts w:ascii="Arial" w:cs="Arial" w:eastAsia="Arial" w:hAnsi="Arial"/>
          <w:color w:val="595959"/>
          <w:sz w:val="18"/>
          <w:szCs w:val="18"/>
          <w:i/>
        </w:rPr>
        <w:t xml:space="preserve">Note: Click the link above to access the live interactive dashboard. A Tableau Public account is not required to view.</w:t>
      </w:r>
    </w:p>
    <w:p>
      <w:pPr>
        <w:pStyle w:val="Heading1"/>
        <w:spacing w:before="360" w:after="120"/>
      </w:pPr>
      <w:r>
        <w:rPr>
          <w:rFonts w:ascii="Arial" w:cs="Arial" w:eastAsia="Arial" w:hAnsi="Arial"/>
          <w:b/>
          <w:bCs/>
          <w:color w:val="1F3864"/>
          <w:sz w:val="36"/>
          <w:szCs w:val="36"/>
        </w:rPr>
        <w:t xml:space="preserve">1. Executive Summary</w:t>
      </w:r>
    </w:p>
    <w:p>
      <w:pPr>
        <w:spacing w:before="80" w:after="80" w:line="320"/>
      </w:pPr>
      <w:r>
        <w:rPr>
          <w:rFonts w:ascii="Arial" w:cs="Arial" w:eastAsia="Arial" w:hAnsi="Arial"/>
          <w:color w:val="404040"/>
          <w:sz w:val="22"/>
          <w:szCs w:val="22"/>
        </w:rPr>
        <w:t xml:space="preserve">This document provides a comprehensive guide to the Pharmaceutical Pricing Portfolio Analysis &amp; Market Intelligence Tableau dashboard. It is written to be fully accessible to readers who are new to pharmaceutical pricing, explaining every chart, every metric, and every term from first principles.</w:t>
      </w:r>
    </w:p>
    <w:p>
      <w:pPr>
        <w:spacing w:before="80" w:after="0"/>
      </w:pPr>
      <w:r>
        <w:t xml:space="preserve"/>
      </w:r>
    </w:p>
    <w:p>
      <w:pPr>
        <w:spacing w:before="80" w:after="80" w:line="320"/>
      </w:pPr>
      <w:r>
        <w:rPr>
          <w:rFonts w:ascii="Arial" w:cs="Arial" w:eastAsia="Arial" w:hAnsi="Arial"/>
          <w:color w:val="404040"/>
          <w:sz w:val="22"/>
          <w:szCs w:val="22"/>
        </w:rPr>
        <w:t xml:space="preserve">The dashboard analyzes pricing data across 220 drugs and 109,552 records spanning 2023 Q1 through 2024 Q4. It tracks how drugs are priced, how much manufacturers actually receive versus list prices, which drugs are most expensive, and how the FDA approval landscape has evolved over a decade.</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1.1 The Data Story</w:t>
      </w:r>
    </w:p>
    <w:p>
      <w:pPr>
        <w:spacing w:before="80" w:after="80" w:line="320"/>
      </w:pPr>
      <w:r>
        <w:rPr>
          <w:rFonts w:ascii="Arial" w:cs="Arial" w:eastAsia="Arial" w:hAnsi="Arial"/>
          <w:color w:val="404040"/>
          <w:sz w:val="22"/>
          <w:szCs w:val="22"/>
        </w:rPr>
        <w:t xml:space="preserve">The most important finding in this dashboard is not a price crash — it is a portfolio composition shift. In 2023, the dataset tracked 216 drugs including high-cost specialty biologics like STELARA ($25,519 NADAC per unit). By 2024 Q3, only 46 drugs remained in the dataset, and they happened to be lower-cost generics. This is why the average price appears to drop dramatically — the expensive drugs left the dataset, not the market.</w:t>
      </w:r>
    </w:p>
    <w:p>
      <w:pPr>
        <w:spacing w:before="80" w:after="0"/>
      </w:pPr>
      <w:r>
        <w:t xml:space="preserve"/>
      </w:r>
    </w:p>
    <w:p>
      <w:pPr>
        <w:spacing w:before="80" w:after="80" w:line="320"/>
      </w:pPr>
      <w:r>
        <w:rPr>
          <w:rFonts w:ascii="Arial" w:cs="Arial" w:eastAsia="Arial" w:hAnsi="Arial"/>
          <w:color w:val="404040"/>
          <w:sz w:val="22"/>
          <w:szCs w:val="22"/>
        </w:rPr>
        <w:t xml:space="preserve">This distinction matters enormously in pharma pricing analysis. A naive reading of the trend line would suggest prices fell by 80%. The correct reading is that the sample changed. The dashboard communicates this clearly through annotations on every trend chart.</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1.2 Key Metrics at a Glance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85FA5"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Avg Unit Price</w:t>
            </w:r>
          </w:p>
          <w:p>
            <w:pPr>
              <w:jc w:val="center"/>
            </w:pPr>
            <w:r>
              <w:rPr>
                <w:rFonts w:ascii="Arial" w:cs="Arial" w:eastAsia="Arial" w:hAnsi="Arial"/>
                <w:b/>
                <w:bCs/>
                <w:color w:val="FFFFFF"/>
                <w:sz w:val="32"/>
                <w:szCs w:val="32"/>
              </w:rPr>
              <w:t xml:space="preserve">$8.66</w:t>
            </w:r>
          </w:p>
          <w:p>
            <w:pPr>
              <w:jc w:val="center"/>
            </w:pPr>
            <w:r>
              <w:rPr>
                <w:rFonts w:ascii="Arial" w:cs="Arial" w:eastAsia="Arial" w:hAnsi="Arial"/>
                <w:color w:val="FFFFFF"/>
                <w:sz w:val="16"/>
                <w:szCs w:val="16"/>
              </w:rPr>
              <w:t xml:space="preserve">2023 portfolio avg</w:t>
            </w:r>
          </w:p>
        </w:tc>
        <w:tc>
          <w:tcPr>
            <w:tcW w:type="dxa" w:w="1872"/>
            <w:tcBorders>
              <w:top w:val="single" w:color="CCCCCC" w:sz="1"/>
              <w:left w:val="single" w:color="CCCCCC" w:sz="1"/>
              <w:bottom w:val="single" w:color="CCCCCC" w:sz="1"/>
              <w:right w:val="single" w:color="CCCCCC" w:sz="1"/>
            </w:tcBorders>
            <w:shd w:fill="0F6E56"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Portfolio Size</w:t>
            </w:r>
          </w:p>
          <w:p>
            <w:pPr>
              <w:jc w:val="center"/>
            </w:pPr>
            <w:r>
              <w:rPr>
                <w:rFonts w:ascii="Arial" w:cs="Arial" w:eastAsia="Arial" w:hAnsi="Arial"/>
                <w:b/>
                <w:bCs/>
                <w:color w:val="FFFFFF"/>
                <w:sz w:val="32"/>
                <w:szCs w:val="32"/>
              </w:rPr>
              <w:t xml:space="preserve">220</w:t>
            </w:r>
          </w:p>
          <w:p>
            <w:pPr>
              <w:jc w:val="center"/>
            </w:pPr>
            <w:r>
              <w:rPr>
                <w:rFonts w:ascii="Arial" w:cs="Arial" w:eastAsia="Arial" w:hAnsi="Arial"/>
                <w:color w:val="FFFFFF"/>
                <w:sz w:val="16"/>
                <w:szCs w:val="16"/>
              </w:rPr>
              <w:t xml:space="preserve">unique drugs tracked</w:t>
            </w:r>
          </w:p>
        </w:tc>
        <w:tc>
          <w:tcPr>
            <w:tcW w:type="dxa" w:w="1872"/>
            <w:tcBorders>
              <w:top w:val="single" w:color="CCCCCC" w:sz="1"/>
              <w:left w:val="single" w:color="CCCCCC" w:sz="1"/>
              <w:bottom w:val="single" w:color="CCCCCC" w:sz="1"/>
              <w:right w:val="single" w:color="CCCCCC" w:sz="1"/>
            </w:tcBorders>
            <w:shd w:fill="BA7517"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Avg GTN Gap</w:t>
            </w:r>
          </w:p>
          <w:p>
            <w:pPr>
              <w:jc w:val="center"/>
            </w:pPr>
            <w:r>
              <w:rPr>
                <w:rFonts w:ascii="Arial" w:cs="Arial" w:eastAsia="Arial" w:hAnsi="Arial"/>
                <w:b/>
                <w:bCs/>
                <w:color w:val="FFFFFF"/>
                <w:sz w:val="32"/>
                <w:szCs w:val="32"/>
              </w:rPr>
              <w:t xml:space="preserve">-57%</w:t>
            </w:r>
          </w:p>
          <w:p>
            <w:pPr>
              <w:jc w:val="center"/>
            </w:pPr>
            <w:r>
              <w:rPr>
                <w:rFonts w:ascii="Arial" w:cs="Arial" w:eastAsia="Arial" w:hAnsi="Arial"/>
                <w:color w:val="FFFFFF"/>
                <w:sz w:val="16"/>
                <w:szCs w:val="16"/>
              </w:rPr>
              <w:t xml:space="preserve">gross-to-net discount</w:t>
            </w:r>
          </w:p>
        </w:tc>
        <w:tc>
          <w:tcPr>
            <w:tcW w:type="dxa" w:w="1872"/>
            <w:tcBorders>
              <w:top w:val="single" w:color="CCCCCC" w:sz="1"/>
              <w:left w:val="single" w:color="CCCCCC" w:sz="1"/>
              <w:bottom w:val="single" w:color="CCCCCC" w:sz="1"/>
              <w:right w:val="single" w:color="CCCCCC" w:sz="1"/>
            </w:tcBorders>
            <w:shd w:fill="534AB7"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Price Volatility</w:t>
            </w:r>
          </w:p>
          <w:p>
            <w:pPr>
              <w:jc w:val="center"/>
            </w:pPr>
            <w:r>
              <w:rPr>
                <w:rFonts w:ascii="Arial" w:cs="Arial" w:eastAsia="Arial" w:hAnsi="Arial"/>
                <w:b/>
                <w:bCs/>
                <w:color w:val="FFFFFF"/>
                <w:sz w:val="32"/>
                <w:szCs w:val="32"/>
              </w:rPr>
              <w:t xml:space="preserve">45.8</w:t>
            </w:r>
          </w:p>
          <w:p>
            <w:pPr>
              <w:jc w:val="center"/>
            </w:pPr>
            <w:r>
              <w:rPr>
                <w:rFonts w:ascii="Arial" w:cs="Arial" w:eastAsia="Arial" w:hAnsi="Arial"/>
                <w:color w:val="FFFFFF"/>
                <w:sz w:val="16"/>
                <w:szCs w:val="16"/>
              </w:rPr>
              <w:t xml:space="preserve">avg CV across drugs</w:t>
            </w:r>
          </w:p>
        </w:tc>
        <w:tc>
          <w:tcPr>
            <w:tcW w:type="dxa" w:w="1872"/>
            <w:tcBorders>
              <w:top w:val="single" w:color="CCCCCC" w:sz="1"/>
              <w:left w:val="single" w:color="CCCCCC" w:sz="1"/>
              <w:bottom w:val="single" w:color="CCCCCC" w:sz="1"/>
              <w:right w:val="single" w:color="CCCCCC" w:sz="1"/>
            </w:tcBorders>
            <w:shd w:fill="993C1D"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FDA Approvals</w:t>
            </w:r>
          </w:p>
          <w:p>
            <w:pPr>
              <w:jc w:val="center"/>
            </w:pPr>
            <w:r>
              <w:rPr>
                <w:rFonts w:ascii="Arial" w:cs="Arial" w:eastAsia="Arial" w:hAnsi="Arial"/>
                <w:b/>
                <w:bCs/>
                <w:color w:val="FFFFFF"/>
                <w:sz w:val="32"/>
                <w:szCs w:val="32"/>
              </w:rPr>
              <w:t xml:space="preserve">465</w:t>
            </w:r>
          </w:p>
          <w:p>
            <w:pPr>
              <w:jc w:val="center"/>
            </w:pPr>
            <w:r>
              <w:rPr>
                <w:rFonts w:ascii="Arial" w:cs="Arial" w:eastAsia="Arial" w:hAnsi="Arial"/>
                <w:color w:val="FFFFFF"/>
                <w:sz w:val="16"/>
                <w:szCs w:val="16"/>
              </w:rPr>
              <w:t xml:space="preserve">2015-2024 launches</w:t>
            </w:r>
          </w:p>
        </w:tc>
      </w:tr>
    </w:tbl>
    <w:p>
      <w:r>
        <w:br w:type="page"/>
      </w:r>
    </w:p>
    <w:p>
      <w:pPr>
        <w:pStyle w:val="Heading1"/>
        <w:spacing w:before="360" w:after="120"/>
      </w:pPr>
      <w:r>
        <w:rPr>
          <w:rFonts w:ascii="Arial" w:cs="Arial" w:eastAsia="Arial" w:hAnsi="Arial"/>
          <w:b/>
          <w:bCs/>
          <w:color w:val="1F3864"/>
          <w:sz w:val="36"/>
          <w:szCs w:val="36"/>
        </w:rPr>
        <w:t xml:space="preserve">2. Glossary of Terms</w:t>
      </w:r>
    </w:p>
    <w:p>
      <w:pPr>
        <w:spacing w:before="80" w:after="80" w:line="320"/>
      </w:pPr>
      <w:r>
        <w:rPr>
          <w:rFonts w:ascii="Arial" w:cs="Arial" w:eastAsia="Arial" w:hAnsi="Arial"/>
          <w:color w:val="404040"/>
          <w:sz w:val="22"/>
          <w:szCs w:val="22"/>
        </w:rPr>
        <w:t xml:space="preserve">This section defines every technical term used in the dashboard. If you are new to pharmaceutical pricing, read this section first before reviewing the charts.</w:t>
      </w:r>
    </w:p>
    <w:p>
      <w:pPr>
        <w:spacing w:before="120" w:after="0"/>
      </w:pPr>
      <w:r>
        <w:t xml:space="preserve"/>
      </w:r>
    </w:p>
    <w:p>
      <w:pPr>
        <w:pStyle w:val="Heading2"/>
        <w:pBdr>
          <w:bottom w:val="single" w:color="0F6E56" w:sz="6" w:space="1"/>
        </w:pBdr>
        <w:spacing w:before="280" w:after="100"/>
      </w:pPr>
      <w:r>
        <w:rPr>
          <w:rFonts w:ascii="Arial" w:cs="Arial" w:eastAsia="Arial" w:hAnsi="Arial"/>
          <w:b/>
          <w:bCs/>
          <w:color w:val="0F6E56"/>
          <w:sz w:val="28"/>
          <w:szCs w:val="28"/>
        </w:rPr>
        <w:t xml:space="preserve">2.1 Pricing Terms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NADAC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National Average Drug Acquisition Cost. The average price that pharmacies actually pay to purchase a drug from wholesalers. This is the real-world acquisition cost, not the list price. Published weekly by the Centers for Medicare &amp; Medicaid Services (CMS). Think of it as the "wholesale price" pharmacies pay.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ASP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Average Sales Price. The average price at which a manufacturer sells a drug to all customers (doctors, hospitals, distributors), net of discounts and rebates. Used by Medicare to set payment rates for physician-administered drugs like injections. ASP = (Total Revenue - Rebates) / Total Units Sold.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Payment Limit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The maximum amount Medicare will reimburse for a drug. For most drugs covered under Medicare Part B, the payment limit is ASP + 6%. This 6% add-on is meant to cover the cost of purchasing, storing, and administering the drug.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Avg 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The simple average of all price observations for a drug across all records in the dataset. In this dashboard, it is calculated as AVG(Avg_Price) per quarter. Used as a high-level pricing indicator.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List 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The published, official price of a drug before any discounts, rebates, or negotiations. Also called the Wholesale Acquisition Cost (WAC). This is almost never what anyone actually pays.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Net 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The actual price received by the manufacturer after all rebates, discounts, and chargebacks are deducted from the list price. Net price = List Price - all rebates and discounts.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Gross-to-Net Gap (GTN)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The difference between the list price and the net price, expressed as a percentage. Formula: (Net Price - List Price) / List Price x 100. A GTN of -57% means the manufacturer receives only 43% of the list price after all rebates. A larger negative GTN means bigger discounts are being given.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Inflation-Adjusted 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The drug price adjusted for general inflation using the Producer Price Index (PPI). This removes the effect of economy-wide inflation to show whether drug prices are rising faster or slower than general prices. If a drug price rises 5% but PPI rises 5%, the real price has not changed.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PPI Index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Producer Price Index. A measure of average change in selling prices received by domestic producers for their output. Used here to inflation-adjust drug prices so comparisons across years are meaningful.</w:t>
            </w:r>
          </w:p>
        </w:tc>
      </w:tr>
    </w:tbl>
    <w:p>
      <w:pPr>
        <w:spacing w:before="120" w:after="0"/>
      </w:pPr>
      <w:r>
        <w:t xml:space="preserve"/>
      </w:r>
    </w:p>
    <w:p>
      <w:pPr>
        <w:pStyle w:val="Heading2"/>
        <w:pBdr>
          <w:bottom w:val="single" w:color="0F6E56" w:sz="6" w:space="1"/>
        </w:pBdr>
        <w:spacing w:before="280" w:after="100"/>
      </w:pPr>
      <w:r>
        <w:rPr>
          <w:rFonts w:ascii="Arial" w:cs="Arial" w:eastAsia="Arial" w:hAnsi="Arial"/>
          <w:b/>
          <w:bCs/>
          <w:color w:val="0F6E56"/>
          <w:sz w:val="28"/>
          <w:szCs w:val="28"/>
        </w:rPr>
        <w:t xml:space="preserve">2.2 Statistical Terms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Volatility (CV)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Coefficient of Variation. A measure of price stability. Calculated as: (Standard Deviation of Price / Average Price) x 100. A CV of 10 means the price varies by about 10% around its average. A CV of 200 means enormous price swings. Low CV = stable pricing. High CV = unpredictable pricing. This matters because payers and pharmacies prefer predictable drug costs.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Rolling 4Q Average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The average of the current quarter and the three preceding quarters. Smooths out seasonal spikes and gives a clearer picture of the underlying pricing trend. Used to reduce noise in quarterly price data.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Standard Deviation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 measure of how spread out the price values are. If a drug costs $10 in Q1, $50 in Q2, $5 in Q3, and $45 in Q4, the standard deviation would be high, indicating unstable pricing.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LOD (Level of Detail)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 Tableau calculation technique that fixes a computation at a specific level (e.g., per drug, per year) regardless of what is shown on the chart. Used in this dashboard to correctly bucket drugs by their average CV across all quarters.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AVG vs MEDIAN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AVG (average) adds all values and divides by count. MEDIAN finds the middle value. For skewed data with outliers (like drug prices with some extremely expensive specialty drugs), the median is often more representative than the average.</w:t>
            </w:r>
          </w:p>
        </w:tc>
      </w:tr>
    </w:tbl>
    <w:p>
      <w:pPr>
        <w:spacing w:before="120" w:after="0"/>
      </w:pPr>
      <w:r>
        <w:t xml:space="preserve"/>
      </w:r>
    </w:p>
    <w:p>
      <w:pPr>
        <w:pStyle w:val="Heading2"/>
        <w:pBdr>
          <w:bottom w:val="single" w:color="0F6E56" w:sz="6" w:space="1"/>
        </w:pBdr>
        <w:spacing w:before="280" w:after="100"/>
      </w:pPr>
      <w:r>
        <w:rPr>
          <w:rFonts w:ascii="Arial" w:cs="Arial" w:eastAsia="Arial" w:hAnsi="Arial"/>
          <w:b/>
          <w:bCs/>
          <w:color w:val="0F6E56"/>
          <w:sz w:val="28"/>
          <w:szCs w:val="28"/>
        </w:rPr>
        <w:t xml:space="preserve">2.3 Drug Classification Terms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NDC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National Drug Code. An 11-digit number that uniquely identifies every drug product sold in the United States. Each formulation, dosage strength, and package size has its own NDC.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HCPCS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Healthcare Common Procedure Coding System. Codes used to identify medical procedures, drugs, and equipment for billing Medicare and Medicaid. Drug HCPCS codes (like J-codes) identify injectable drugs administered in medical settings.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Biologics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Large, complex molecules made from living cells. Examples in this dashboard: STELARA and SKYRIZI. Biologics are typically much more expensive than small-molecule drugs and cannot be easily copied (unlike generic drugs). They treat conditions like autoimmune diseases and cancer.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Specialty Drug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High-cost medications that often require special handling, administration, or monitoring. Typically cost $600+ per month. Examples in this dashboard include STELARA ($25,519 NADAC), SKYRIZI ($18,548), and AVONEX ($7,381). These dominate the top NADAC rankings.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Generic Drug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 copy of a brand-name drug with the same active ingredient, dosage, and effectiveness, but sold at a lower price after the original patent expires. Generics make up the lower-NADAC portion of this portfolio.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OTC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Over-the-Counter. Drugs that can be purchased without a prescription. Flagged in the dataset with a Y/N indicator.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NDA/BLA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New Drug Application / Biologics License Application. The formal submission to the FDA requesting approval to market a new drug or biologic in the United States.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Orphan Drug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 drug developed for rare diseases affecting fewer than 200,000 people in the US. Receives special FDA incentives including 7 years of market exclusivity and tax credits for clinical trials.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Breakthrough Therapy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 FDA designation for drugs that treat serious conditions where preliminary evidence shows substantial improvement over existing therapies. Speeds up the development and review process.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Fast Track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 FDA designation for drugs that treat serious conditions and fill an unmet medical need. Allows more frequent communication with FDA and a rolling review of data as it becomes available.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Priority 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 FDA designation that shortens the review period from the standard 10 months to 6 months. Given to drugs that offer major advances in treatment or provide a treatment where none existed. Contrasts with Standard Review.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Appl_Type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Application Type. Indicates whether the drug was approved via NDA (New Drug Application for small molecules) or BLA (Biologics License Application for biologics).</w:t>
            </w:r>
          </w:p>
        </w:tc>
      </w:tr>
    </w:tbl>
    <w:p>
      <w:r>
        <w:br w:type="page"/>
      </w:r>
    </w:p>
    <w:p>
      <w:pPr>
        <w:pStyle w:val="Heading1"/>
        <w:spacing w:before="360" w:after="120"/>
      </w:pPr>
      <w:r>
        <w:rPr>
          <w:rFonts w:ascii="Arial" w:cs="Arial" w:eastAsia="Arial" w:hAnsi="Arial"/>
          <w:b/>
          <w:bCs/>
          <w:color w:val="1F3864"/>
          <w:sz w:val="36"/>
          <w:szCs w:val="36"/>
        </w:rPr>
        <w:t xml:space="preserve">3. Full Dashboard Overview</w:t>
      </w:r>
    </w:p>
    <w:p>
      <w:pPr>
        <w:spacing w:before="80" w:after="80" w:line="320"/>
      </w:pPr>
      <w:r>
        <w:rPr>
          <w:rFonts w:ascii="Arial" w:cs="Arial" w:eastAsia="Arial" w:hAnsi="Arial"/>
          <w:color w:val="404040"/>
          <w:sz w:val="22"/>
          <w:szCs w:val="22"/>
        </w:rPr>
        <w:t xml:space="preserve">The dashboard brings together six visualizations into a single view, allowing a pharma pricing analyst to identify trends, spot anomalies, and communicate portfolio positioning at a glance.</w:t>
      </w:r>
    </w:p>
    <w:p>
      <w:pPr>
        <w:spacing w:before="100" w:after="0"/>
      </w:pPr>
      <w:r>
        <w:t xml:space="preserve"/>
      </w:r>
    </w:p>
    <w:p>
      <w:pPr>
        <w:spacing w:before="120" w:after="60"/>
        <w:jc w:val="center"/>
      </w:pPr>
      <w:r>
        <w:drawing>
          <wp:inline distT="0" distB="0" distL="0" distR="0">
            <wp:extent cx="6539503050" cy="413916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39503050" cy="4139164950"/>
                    </a:xfrm>
                    <a:prstGeom prst="rect">
                      <a:avLst/>
                    </a:prstGeom>
                  </pic:spPr>
                </pic:pic>
              </a:graphicData>
            </a:graphic>
          </wp:inline>
        </w:drawing>
      </w:r>
    </w:p>
    <w:p>
      <w:pPr>
        <w:spacing w:before="40" w:after="120"/>
        <w:jc w:val="center"/>
      </w:pPr>
      <w:r>
        <w:rPr>
          <w:rFonts w:ascii="Arial" w:cs="Arial" w:eastAsia="Arial" w:hAnsi="Arial"/>
          <w:i/>
          <w:iCs/>
          <w:color w:val="595959"/>
          <w:sz w:val="18"/>
          <w:szCs w:val="18"/>
        </w:rPr>
        <w:t xml:space="preserve">Figure 1: Pharmaceutical Pricing Portfolio Analysis &amp; Market Intelligence — Full Dashboard</w:t>
      </w:r>
    </w:p>
    <w:p>
      <w:pPr>
        <w:spacing w:before="80" w:after="0"/>
      </w:pPr>
      <w:r>
        <w:t xml:space="preserve"/>
      </w:r>
    </w:p>
    <w:p>
      <w:pPr>
        <w:spacing w:before="80" w:after="80" w:line="320"/>
      </w:pPr>
      <w:r>
        <w:rPr>
          <w:rFonts w:ascii="Arial" w:cs="Arial" w:eastAsia="Arial" w:hAnsi="Arial"/>
          <w:color w:val="404040"/>
          <w:sz w:val="22"/>
          <w:szCs w:val="22"/>
        </w:rPr>
        <w:t xml:space="preserve">The layout is organized in three rows. The top row shows the two pricing trend lines (Avg Price and NADAC) side by side — these tell the portfolio trajectory story. The middle row shows the Top 10 Drugs by NADAC, the competitive positioning chart that answers "which drugs cost the most to acquire?" The bottom row contains three supporting charts: the Gross-to-Net Gap trend, the Price Volatility Distribution, and the FDA Approvals by Year.</w:t>
      </w:r>
    </w:p>
    <w:p>
      <w:r>
        <w:br w:type="page"/>
      </w:r>
    </w:p>
    <w:p>
      <w:pPr>
        <w:pStyle w:val="Heading1"/>
        <w:spacing w:before="360" w:after="120"/>
      </w:pPr>
      <w:r>
        <w:rPr>
          <w:rFonts w:ascii="Arial" w:cs="Arial" w:eastAsia="Arial" w:hAnsi="Arial"/>
          <w:b/>
          <w:bCs/>
          <w:color w:val="1F3864"/>
          <w:sz w:val="36"/>
          <w:szCs w:val="36"/>
        </w:rPr>
        <w:t xml:space="preserve">4. Chart-by-Chart Analysis</w:t>
      </w:r>
    </w:p>
    <w:p>
      <w:pPr>
        <w:pStyle w:val="Heading2"/>
        <w:pBdr>
          <w:bottom w:val="single" w:color="2E75B6" w:sz="6" w:space="1"/>
        </w:pBdr>
        <w:spacing w:before="280" w:after="100"/>
      </w:pPr>
      <w:r>
        <w:rPr>
          <w:rFonts w:ascii="Arial" w:cs="Arial" w:eastAsia="Arial" w:hAnsi="Arial"/>
          <w:b/>
          <w:bCs/>
          <w:color w:val="2E75B6"/>
          <w:sz w:val="28"/>
          <w:szCs w:val="28"/>
        </w:rPr>
        <w:t xml:space="preserve">4.1 Chart 1 — Average Price Trend</w:t>
      </w:r>
    </w:p>
    <w:p>
      <w:pPr>
        <w:spacing w:before="40" w:after="0"/>
      </w:pPr>
      <w:r>
        <w:t xml:space="preserve"/>
      </w:r>
    </w:p>
    <w:p>
      <w:pPr>
        <w:spacing w:before="120" w:after="60"/>
        <w:jc w:val="center"/>
      </w:pPr>
      <w:r>
        <w:drawing>
          <wp:inline distT="0" distB="0" distL="0" distR="0">
            <wp:extent cx="6539503050" cy="395683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39503050" cy="3956837400"/>
                    </a:xfrm>
                    <a:prstGeom prst="rect">
                      <a:avLst/>
                    </a:prstGeom>
                  </pic:spPr>
                </pic:pic>
              </a:graphicData>
            </a:graphic>
          </wp:inline>
        </w:drawing>
      </w:r>
    </w:p>
    <w:p>
      <w:pPr>
        <w:spacing w:before="40" w:after="120"/>
        <w:jc w:val="center"/>
      </w:pPr>
      <w:r>
        <w:rPr>
          <w:rFonts w:ascii="Arial" w:cs="Arial" w:eastAsia="Arial" w:hAnsi="Arial"/>
          <w:i/>
          <w:iCs/>
          <w:color w:val="595959"/>
          <w:sz w:val="18"/>
          <w:szCs w:val="18"/>
        </w:rPr>
        <w:t xml:space="preserve">Figure 2: Average Price Per Unit Trend by Quarter (2023 Q1 – 2024 Q4)</w:t>
      </w:r>
    </w:p>
    <w:p>
      <w:pPr>
        <w:spacing w:before="80" w:after="0"/>
      </w:pPr>
      <w:r>
        <w:t xml:space="preserve"/>
      </w:r>
    </w:p>
    <w:p>
      <w:pPr>
        <w:pStyle w:val="Heading3"/>
        <w:spacing w:before="200" w:after="80"/>
      </w:pPr>
      <w:r>
        <w:rPr>
          <w:rFonts w:ascii="Arial" w:cs="Arial" w:eastAsia="Arial" w:hAnsi="Arial"/>
          <w:b/>
          <w:bCs/>
          <w:color w:val="404040"/>
          <w:sz w:val="24"/>
          <w:szCs w:val="24"/>
        </w:rPr>
        <w:t xml:space="preserve">What we built</w:t>
      </w:r>
    </w:p>
    <w:p>
      <w:pPr>
        <w:spacing w:before="80" w:after="80" w:line="320"/>
      </w:pPr>
      <w:r>
        <w:rPr>
          <w:rFonts w:ascii="Arial" w:cs="Arial" w:eastAsia="Arial" w:hAnsi="Arial"/>
          <w:color w:val="404040"/>
          <w:sz w:val="22"/>
          <w:szCs w:val="22"/>
        </w:rPr>
        <w:t xml:space="preserve">A line chart with Quarter Key on the horizontal axis and AVG(Avg_Price) on the vertical axis. Each data point represents the average price per unit across all drugs active in that quarter.</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What we are communicating</w:t>
      </w:r>
    </w:p>
    <w:p>
      <w:pPr>
        <w:spacing w:before="80" w:after="80" w:line="320"/>
      </w:pPr>
      <w:r>
        <w:rPr>
          <w:rFonts w:ascii="Arial" w:cs="Arial" w:eastAsia="Arial" w:hAnsi="Arial"/>
          <w:color w:val="404040"/>
          <w:sz w:val="22"/>
          <w:szCs w:val="22"/>
        </w:rPr>
        <w:t xml:space="preserve">The pricing trajectory of the portfolio over time. In 2023, prices declined gradually from $8.94 to $8.45 — a modest, expected trend. The dramatic drop to $1.82 in 2024 Q3 is not a price crash; it reflects a portfolio composition shift where 170 high-cost drugs left the dataset.</w:t>
      </w:r>
    </w:p>
    <w:p>
      <w:pPr>
        <w:spacing w:before="60" w:after="0"/>
      </w:pPr>
      <w:r>
        <w:t xml:space="preserve"/>
      </w:r>
    </w:p>
    <w:p>
      <w:pPr>
        <w:pStyle w:val="Heading3"/>
        <w:spacing w:before="200" w:after="80"/>
      </w:pPr>
      <w:r>
        <w:rPr>
          <w:rFonts w:ascii="Arial" w:cs="Arial" w:eastAsia="Arial" w:hAnsi="Arial"/>
          <w:b/>
          <w:bCs/>
          <w:color w:val="404040"/>
          <w:sz w:val="24"/>
          <w:szCs w:val="24"/>
        </w:rPr>
        <w:t xml:space="preserve">Key data points</w:t>
      </w:r>
    </w:p>
    <w:p>
      <w:pPr>
        <w:pStyle w:val="ListParagraph"/>
        <w:numPr>
          <w:ilvl w:val="0"/>
          <w:numId w:val="2"/>
        </w:numPr>
        <w:spacing w:before="40" w:after="40" w:line="300"/>
      </w:pPr>
      <w:r>
        <w:rPr>
          <w:rFonts w:ascii="Arial" w:cs="Arial" w:eastAsia="Arial" w:hAnsi="Arial"/>
          <w:color w:val="404040"/>
          <w:sz w:val="22"/>
          <w:szCs w:val="22"/>
        </w:rPr>
        <w:t xml:space="preserve">2023 Q1: $8.94 — starting baseline for the portfolio</w:t>
      </w:r>
    </w:p>
    <w:p>
      <w:pPr>
        <w:pStyle w:val="ListParagraph"/>
        <w:numPr>
          <w:ilvl w:val="0"/>
          <w:numId w:val="2"/>
        </w:numPr>
        <w:spacing w:before="40" w:after="40" w:line="300"/>
      </w:pPr>
      <w:r>
        <w:rPr>
          <w:rFonts w:ascii="Arial" w:cs="Arial" w:eastAsia="Arial" w:hAnsi="Arial"/>
          <w:color w:val="404040"/>
          <w:sz w:val="22"/>
          <w:szCs w:val="22"/>
        </w:rPr>
        <w:t xml:space="preserve">2023 Q2: $8.71 — slight decline, consistent trend</w:t>
      </w:r>
    </w:p>
    <w:p>
      <w:pPr>
        <w:pStyle w:val="ListParagraph"/>
        <w:numPr>
          <w:ilvl w:val="0"/>
          <w:numId w:val="2"/>
        </w:numPr>
        <w:spacing w:before="40" w:after="40" w:line="300"/>
      </w:pPr>
      <w:r>
        <w:rPr>
          <w:rFonts w:ascii="Arial" w:cs="Arial" w:eastAsia="Arial" w:hAnsi="Arial"/>
          <w:color w:val="404040"/>
          <w:sz w:val="22"/>
          <w:szCs w:val="22"/>
        </w:rPr>
        <w:t xml:space="preserve">2023 Q3: $8.57 — continued gradual decrease</w:t>
      </w:r>
    </w:p>
    <w:p>
      <w:pPr>
        <w:pStyle w:val="ListParagraph"/>
        <w:numPr>
          <w:ilvl w:val="0"/>
          <w:numId w:val="2"/>
        </w:numPr>
        <w:spacing w:before="40" w:after="40" w:line="300"/>
      </w:pPr>
      <w:r>
        <w:rPr>
          <w:rFonts w:ascii="Arial" w:cs="Arial" w:eastAsia="Arial" w:hAnsi="Arial"/>
          <w:color w:val="404040"/>
          <w:sz w:val="22"/>
          <w:szCs w:val="22"/>
        </w:rPr>
        <w:t xml:space="preserve">2023 Q4: $8.45 — stable 2023 trajectory</w:t>
      </w:r>
    </w:p>
    <w:p>
      <w:pPr>
        <w:pStyle w:val="ListParagraph"/>
        <w:numPr>
          <w:ilvl w:val="0"/>
          <w:numId w:val="2"/>
        </w:numPr>
        <w:spacing w:before="40" w:after="40" w:line="300"/>
      </w:pPr>
      <w:r>
        <w:rPr>
          <w:rFonts w:ascii="Arial" w:cs="Arial" w:eastAsia="Arial" w:hAnsi="Arial"/>
          <w:color w:val="404040"/>
          <w:sz w:val="22"/>
          <w:szCs w:val="22"/>
        </w:rPr>
        <w:t xml:space="preserve">2024 Q3: $1.82 — portfolio reduced from 216 to 46 drugs</w:t>
      </w:r>
    </w:p>
    <w:p>
      <w:pPr>
        <w:pStyle w:val="ListParagraph"/>
        <w:numPr>
          <w:ilvl w:val="0"/>
          <w:numId w:val="2"/>
        </w:numPr>
        <w:spacing w:before="40" w:after="40" w:line="300"/>
      </w:pPr>
      <w:r>
        <w:rPr>
          <w:rFonts w:ascii="Arial" w:cs="Arial" w:eastAsia="Arial" w:hAnsi="Arial"/>
          <w:color w:val="404040"/>
          <w:sz w:val="22"/>
          <w:szCs w:val="22"/>
        </w:rPr>
        <w:t xml:space="preserve">2024 Q4: $1.55 — continued decline in the smaller 2024 portfolio</w:t>
      </w:r>
    </w:p>
    <w:p>
      <w:pPr>
        <w:spacing w:before="60" w:after="0"/>
      </w:pPr>
      <w:r>
        <w:t xml:space="preserve"/>
      </w:r>
    </w:p>
    <w:p>
      <w:pPr>
        <w:pStyle w:val="Heading3"/>
        <w:spacing w:before="200" w:after="80"/>
      </w:pPr>
      <w:r>
        <w:rPr>
          <w:rFonts w:ascii="Arial" w:cs="Arial" w:eastAsia="Arial" w:hAnsi="Arial"/>
          <w:b/>
          <w:bCs/>
          <w:color w:val="404040"/>
          <w:sz w:val="24"/>
          <w:szCs w:val="24"/>
        </w:rPr>
        <w:t xml:space="preserve">Design decisions</w:t>
      </w:r>
    </w:p>
    <w:p>
      <w:pPr>
        <w:pStyle w:val="ListParagraph"/>
        <w:numPr>
          <w:ilvl w:val="0"/>
          <w:numId w:val="2"/>
        </w:numPr>
        <w:spacing w:before="40" w:after="40" w:line="300"/>
      </w:pPr>
      <w:r>
        <w:rPr>
          <w:rFonts w:ascii="Arial" w:cs="Arial" w:eastAsia="Arial" w:hAnsi="Arial"/>
          <w:color w:val="404040"/>
          <w:sz w:val="22"/>
          <w:szCs w:val="22"/>
        </w:rPr>
        <w:t xml:space="preserve">The gap annotation "2024 Q1-Q2 data unavailable" is critical — it prevents viewers from misreading the 2023Q4 to 2024Q3 line as a continuous decline</w:t>
      </w:r>
    </w:p>
    <w:p>
      <w:pPr>
        <w:pStyle w:val="ListParagraph"/>
        <w:numPr>
          <w:ilvl w:val="0"/>
          <w:numId w:val="2"/>
        </w:numPr>
        <w:spacing w:before="40" w:after="40" w:line="300"/>
      </w:pPr>
      <w:r>
        <w:rPr>
          <w:rFonts w:ascii="Arial" w:cs="Arial" w:eastAsia="Arial" w:hAnsi="Arial"/>
          <w:color w:val="404040"/>
          <w:sz w:val="22"/>
          <w:szCs w:val="22"/>
        </w:rPr>
        <w:t xml:space="preserve">The mark annotation "Portfolio: 216 to 46 drugs" explains the cliff visually at the drop point</w:t>
      </w:r>
    </w:p>
    <w:p>
      <w:pPr>
        <w:pStyle w:val="ListParagraph"/>
        <w:numPr>
          <w:ilvl w:val="0"/>
          <w:numId w:val="2"/>
        </w:numPr>
        <w:spacing w:before="40" w:after="40" w:line="300"/>
      </w:pPr>
      <w:r>
        <w:rPr>
          <w:rFonts w:ascii="Arial" w:cs="Arial" w:eastAsia="Arial" w:hAnsi="Arial"/>
          <w:color w:val="404040"/>
          <w:sz w:val="22"/>
          <w:szCs w:val="22"/>
        </w:rPr>
        <w:t xml:space="preserve">Y-axis starts at 0 — no axis truncation to avoid misleading viewers</w:t>
      </w:r>
    </w:p>
    <w:p>
      <w:pPr>
        <w:pStyle w:val="ListParagraph"/>
        <w:numPr>
          <w:ilvl w:val="0"/>
          <w:numId w:val="2"/>
        </w:numPr>
        <w:spacing w:before="40" w:after="40" w:line="300"/>
      </w:pPr>
      <w:r>
        <w:rPr>
          <w:rFonts w:ascii="Arial" w:cs="Arial" w:eastAsia="Arial" w:hAnsi="Arial"/>
          <w:color w:val="404040"/>
          <w:sz w:val="22"/>
          <w:szCs w:val="22"/>
        </w:rPr>
        <w:t xml:space="preserve">The axis is labeled "Avg Price Per Unit ($)" not the default Tableau label</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What this tells a pharma analyst</w:t>
      </w:r>
    </w:p>
    <w:p>
      <w:pPr>
        <w:spacing w:before="80" w:after="80" w:line="320"/>
      </w:pPr>
      <w:r>
        <w:rPr>
          <w:rFonts w:ascii="Arial" w:cs="Arial" w:eastAsia="Arial" w:hAnsi="Arial"/>
          <w:color w:val="404040"/>
          <w:sz w:val="22"/>
          <w:szCs w:val="22"/>
        </w:rPr>
        <w:t xml:space="preserve">The 2023 portfolio showed stable, slightly declining average acquisition costs — consistent with normal generic price erosion over time. The 2024 data represents a fundamentally different drug mix and cannot be directly compared to 2023 without accounting for the portfolio composition change.</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4.2 Chart 2 — NADAC Trend</w:t>
      </w:r>
    </w:p>
    <w:p>
      <w:pPr>
        <w:spacing w:before="40" w:after="0"/>
      </w:pPr>
      <w:r>
        <w:t xml:space="preserve"/>
      </w:r>
    </w:p>
    <w:p>
      <w:pPr>
        <w:spacing w:before="120" w:after="60"/>
        <w:jc w:val="center"/>
      </w:pPr>
      <w:r>
        <w:drawing>
          <wp:inline distT="0" distB="0" distL="0" distR="0">
            <wp:extent cx="6539503050" cy="39256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39503050" cy="3925643025"/>
                    </a:xfrm>
                    <a:prstGeom prst="rect">
                      <a:avLst/>
                    </a:prstGeom>
                  </pic:spPr>
                </pic:pic>
              </a:graphicData>
            </a:graphic>
          </wp:inline>
        </w:drawing>
      </w:r>
    </w:p>
    <w:p>
      <w:pPr>
        <w:spacing w:before="40" w:after="120"/>
        <w:jc w:val="center"/>
      </w:pPr>
      <w:r>
        <w:rPr>
          <w:rFonts w:ascii="Arial" w:cs="Arial" w:eastAsia="Arial" w:hAnsi="Arial"/>
          <w:i/>
          <w:iCs/>
          <w:color w:val="595959"/>
          <w:sz w:val="18"/>
          <w:szCs w:val="18"/>
        </w:rPr>
        <w:t xml:space="preserve">Figure 3: Average NADAC Per Unit Trend by Quarter (2023 Q1 – 2024 Q4)</w:t>
      </w:r>
    </w:p>
    <w:p>
      <w:pPr>
        <w:spacing w:before="80" w:after="0"/>
      </w:pPr>
      <w:r>
        <w:t xml:space="preserve"/>
      </w:r>
    </w:p>
    <w:p>
      <w:pPr>
        <w:pStyle w:val="Heading3"/>
        <w:spacing w:before="200" w:after="80"/>
      </w:pPr>
      <w:r>
        <w:rPr>
          <w:rFonts w:ascii="Arial" w:cs="Arial" w:eastAsia="Arial" w:hAnsi="Arial"/>
          <w:b/>
          <w:bCs/>
          <w:color w:val="404040"/>
          <w:sz w:val="24"/>
          <w:szCs w:val="24"/>
        </w:rPr>
        <w:t xml:space="preserve">What we built</w:t>
      </w:r>
    </w:p>
    <w:p>
      <w:pPr>
        <w:spacing w:before="80" w:after="80" w:line="320"/>
      </w:pPr>
      <w:r>
        <w:rPr>
          <w:rFonts w:ascii="Arial" w:cs="Arial" w:eastAsia="Arial" w:hAnsi="Arial"/>
          <w:color w:val="404040"/>
          <w:sz w:val="22"/>
          <w:szCs w:val="22"/>
        </w:rPr>
        <w:t xml:space="preserve">A line chart using AVG(NADAC Per Unit) on the vertical axis and Quarter Key on the horizontal axis. NADAC is the National Average Drug Acquisition Cost — the real price pharmacies pay to buy drugs.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What we are communicating</w:t>
      </w:r>
    </w:p>
    <w:p>
      <w:pPr>
        <w:spacing w:before="80" w:after="80" w:line="320"/>
      </w:pPr>
      <w:r>
        <w:rPr>
          <w:rFonts w:ascii="Arial" w:cs="Arial" w:eastAsia="Arial" w:hAnsi="Arial"/>
          <w:color w:val="404040"/>
          <w:sz w:val="22"/>
          <w:szCs w:val="22"/>
        </w:rPr>
        <w:t xml:space="preserve">The NADAC trend tells an even starker version of the portfolio composition story. NADAC dropped from $193.57 to $6.74 — a 96.5% decline — because the specialty biologics (STELARA at $25,519, SKYRIZI at $18,548) that dominated the 2023 NADAC average were entirely absent from the 2024 dataset.</w:t>
      </w:r>
    </w:p>
    <w:p>
      <w:pPr>
        <w:spacing w:before="60" w:after="0"/>
      </w:pPr>
      <w:r>
        <w:t xml:space="preserve"/>
      </w:r>
    </w:p>
    <w:p>
      <w:pPr>
        <w:pStyle w:val="Heading3"/>
        <w:spacing w:before="200" w:after="80"/>
      </w:pPr>
      <w:r>
        <w:rPr>
          <w:rFonts w:ascii="Arial" w:cs="Arial" w:eastAsia="Arial" w:hAnsi="Arial"/>
          <w:b/>
          <w:bCs/>
          <w:color w:val="404040"/>
          <w:sz w:val="24"/>
          <w:szCs w:val="24"/>
        </w:rPr>
        <w:t xml:space="preserve">Key data points</w:t>
      </w:r>
    </w:p>
    <w:p>
      <w:pPr>
        <w:pStyle w:val="ListParagraph"/>
        <w:numPr>
          <w:ilvl w:val="0"/>
          <w:numId w:val="2"/>
        </w:numPr>
        <w:spacing w:before="40" w:after="40" w:line="300"/>
      </w:pPr>
      <w:r>
        <w:rPr>
          <w:rFonts w:ascii="Arial" w:cs="Arial" w:eastAsia="Arial" w:hAnsi="Arial"/>
          <w:color w:val="404040"/>
          <w:sz w:val="22"/>
          <w:szCs w:val="22"/>
        </w:rPr>
        <w:t xml:space="preserve">2023 Q1: $193.57 — heavily influenced by STELARA and SKYRIZI</w:t>
      </w:r>
    </w:p>
    <w:p>
      <w:pPr>
        <w:pStyle w:val="ListParagraph"/>
        <w:numPr>
          <w:ilvl w:val="0"/>
          <w:numId w:val="2"/>
        </w:numPr>
        <w:spacing w:before="40" w:after="40" w:line="300"/>
      </w:pPr>
      <w:r>
        <w:rPr>
          <w:rFonts w:ascii="Arial" w:cs="Arial" w:eastAsia="Arial" w:hAnsi="Arial"/>
          <w:color w:val="404040"/>
          <w:sz w:val="22"/>
          <w:szCs w:val="22"/>
        </w:rPr>
        <w:t xml:space="preserve">2023 Q4: $171.56 — still high due to specialty drug presence</w:t>
      </w:r>
    </w:p>
    <w:p>
      <w:pPr>
        <w:pStyle w:val="ListParagraph"/>
        <w:numPr>
          <w:ilvl w:val="0"/>
          <w:numId w:val="2"/>
        </w:numPr>
        <w:spacing w:before="40" w:after="40" w:line="300"/>
      </w:pPr>
      <w:r>
        <w:rPr>
          <w:rFonts w:ascii="Arial" w:cs="Arial" w:eastAsia="Arial" w:hAnsi="Arial"/>
          <w:color w:val="404040"/>
          <w:sz w:val="22"/>
          <w:szCs w:val="22"/>
        </w:rPr>
        <w:t xml:space="preserve">2024 Q3: $18.98 — specialty drugs gone, only generics remain</w:t>
      </w:r>
    </w:p>
    <w:p>
      <w:pPr>
        <w:pStyle w:val="ListParagraph"/>
        <w:numPr>
          <w:ilvl w:val="0"/>
          <w:numId w:val="2"/>
        </w:numPr>
        <w:spacing w:before="40" w:after="40" w:line="300"/>
      </w:pPr>
      <w:r>
        <w:rPr>
          <w:rFonts w:ascii="Arial" w:cs="Arial" w:eastAsia="Arial" w:hAnsi="Arial"/>
          <w:color w:val="404040"/>
          <w:sz w:val="22"/>
          <w:szCs w:val="22"/>
        </w:rPr>
        <w:t xml:space="preserve">2024 Q4: $6.74 — lowest NADAC in the dataset</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Why NADAC matters</w:t>
      </w:r>
    </w:p>
    <w:p>
      <w:pPr>
        <w:spacing w:before="80" w:after="80" w:line="320"/>
      </w:pPr>
      <w:r>
        <w:rPr>
          <w:rFonts w:ascii="Arial" w:cs="Arial" w:eastAsia="Arial" w:hAnsi="Arial"/>
          <w:color w:val="404040"/>
          <w:sz w:val="22"/>
          <w:szCs w:val="22"/>
        </w:rPr>
        <w:t xml:space="preserve">NADAC is the most accurate publicly available measure of what drugs actually cost pharmacies to acquire. Unlike list prices which can be inflated, NADAC reflects real transaction prices. A rising NADAC signals that pharmacies are paying more and may need to raise prices to patients. A falling NADAC (as seen here due to portfolio shift) signals cheaper drug availability — though the interpretation here requires the portfolio context annotation.</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4.3 Chart 3 — Top 10 Drugs by NADAC</w:t>
      </w:r>
    </w:p>
    <w:p>
      <w:pPr>
        <w:spacing w:before="40" w:after="0"/>
      </w:pPr>
      <w:r>
        <w:t xml:space="preserve"/>
      </w:r>
    </w:p>
    <w:p>
      <w:pPr>
        <w:spacing w:before="120" w:after="60"/>
        <w:jc w:val="center"/>
      </w:pPr>
      <w:r>
        <w:drawing>
          <wp:inline distT="0" distB="0" distL="0" distR="0">
            <wp:extent cx="6539503050" cy="402740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39503050" cy="4027408125"/>
                    </a:xfrm>
                    <a:prstGeom prst="rect">
                      <a:avLst/>
                    </a:prstGeom>
                  </pic:spPr>
                </pic:pic>
              </a:graphicData>
            </a:graphic>
          </wp:inline>
        </w:drawing>
      </w:r>
    </w:p>
    <w:p>
      <w:pPr>
        <w:spacing w:before="40" w:after="120"/>
        <w:jc w:val="center"/>
      </w:pPr>
      <w:r>
        <w:rPr>
          <w:rFonts w:ascii="Arial" w:cs="Arial" w:eastAsia="Arial" w:hAnsi="Arial"/>
          <w:i/>
          <w:iCs/>
          <w:color w:val="595959"/>
          <w:sz w:val="18"/>
          <w:szCs w:val="18"/>
        </w:rPr>
        <w:t xml:space="preserve">Figure 4: Top 10 Drugs by Average NADAC Per Unit — Competitive Positioning</w:t>
      </w:r>
    </w:p>
    <w:p>
      <w:pPr>
        <w:spacing w:before="80" w:after="0"/>
      </w:pPr>
      <w:r>
        <w:t xml:space="preserve"/>
      </w:r>
    </w:p>
    <w:p>
      <w:pPr>
        <w:pStyle w:val="Heading3"/>
        <w:spacing w:before="200" w:after="80"/>
      </w:pPr>
      <w:r>
        <w:rPr>
          <w:rFonts w:ascii="Arial" w:cs="Arial" w:eastAsia="Arial" w:hAnsi="Arial"/>
          <w:b/>
          <w:bCs/>
          <w:color w:val="404040"/>
          <w:sz w:val="24"/>
          <w:szCs w:val="24"/>
        </w:rPr>
        <w:t xml:space="preserve">What we built</w:t>
      </w:r>
    </w:p>
    <w:p>
      <w:pPr>
        <w:spacing w:before="80" w:after="80" w:line="320"/>
      </w:pPr>
      <w:r>
        <w:rPr>
          <w:rFonts w:ascii="Arial" w:cs="Arial" w:eastAsia="Arial" w:hAnsi="Arial"/>
          <w:color w:val="404040"/>
          <w:sz w:val="22"/>
          <w:szCs w:val="22"/>
        </w:rPr>
        <w:t xml:space="preserve">A horizontal bar chart showing the 10 drugs with the highest average NADAC per unit. Drug names on the vertical axis, NADAC value on the horizontal axis. Bars colored by a sequential blue ramp — darker bars = higher NADAC. A vertical reference line at $12,377 marks the portfolio average.</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What we are communicating</w:t>
      </w:r>
    </w:p>
    <w:p>
      <w:pPr>
        <w:spacing w:before="80" w:after="80" w:line="320"/>
      </w:pPr>
      <w:r>
        <w:rPr>
          <w:rFonts w:ascii="Arial" w:cs="Arial" w:eastAsia="Arial" w:hAnsi="Arial"/>
          <w:color w:val="404040"/>
          <w:sz w:val="22"/>
          <w:szCs w:val="22"/>
        </w:rPr>
        <w:t xml:space="preserve">Competitive positioning — which drugs in the portfolio command the highest acquisition costs, and how they compare to the portfolio average. This is the chart a pricing manager would use to identify specialty drug outliers and justify pricing strategy decisions.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Key findings</w:t>
      </w:r>
    </w:p>
    <w:p>
      <w:pPr>
        <w:pStyle w:val="ListParagraph"/>
        <w:numPr>
          <w:ilvl w:val="0"/>
          <w:numId w:val="2"/>
        </w:numPr>
        <w:spacing w:before="40" w:after="40" w:line="300"/>
      </w:pPr>
      <w:r>
        <w:rPr>
          <w:rFonts w:ascii="Arial" w:cs="Arial" w:eastAsia="Arial" w:hAnsi="Arial"/>
          <w:color w:val="404040"/>
          <w:sz w:val="22"/>
          <w:szCs w:val="22"/>
        </w:rPr>
        <w:t xml:space="preserve">STELARA 45 MG/0.5 ML SYRINGE leads at $25,519 — a biologic for autoimmune diseases</w:t>
      </w:r>
    </w:p>
    <w:p>
      <w:pPr>
        <w:pStyle w:val="ListParagraph"/>
        <w:numPr>
          <w:ilvl w:val="0"/>
          <w:numId w:val="2"/>
        </w:numPr>
        <w:spacing w:before="40" w:after="40" w:line="300"/>
      </w:pPr>
      <w:r>
        <w:rPr>
          <w:rFonts w:ascii="Arial" w:cs="Arial" w:eastAsia="Arial" w:hAnsi="Arial"/>
          <w:color w:val="404040"/>
          <w:sz w:val="22"/>
          <w:szCs w:val="22"/>
        </w:rPr>
        <w:t xml:space="preserve">STELARA 90 MG/ML SYRINGE close behind at $24,299</w:t>
      </w:r>
    </w:p>
    <w:p>
      <w:pPr>
        <w:pStyle w:val="ListParagraph"/>
        <w:numPr>
          <w:ilvl w:val="0"/>
          <w:numId w:val="2"/>
        </w:numPr>
        <w:spacing w:before="40" w:after="40" w:line="300"/>
      </w:pPr>
      <w:r>
        <w:rPr>
          <w:rFonts w:ascii="Arial" w:cs="Arial" w:eastAsia="Arial" w:hAnsi="Arial"/>
          <w:color w:val="404040"/>
          <w:sz w:val="22"/>
          <w:szCs w:val="22"/>
        </w:rPr>
        <w:t xml:space="preserve">SKYRIZI 150 MG/ML (both syringe and pen formulations) at ~$18,500</w:t>
      </w:r>
    </w:p>
    <w:p>
      <w:pPr>
        <w:pStyle w:val="ListParagraph"/>
        <w:numPr>
          <w:ilvl w:val="0"/>
          <w:numId w:val="2"/>
        </w:numPr>
        <w:spacing w:before="40" w:after="40" w:line="300"/>
      </w:pPr>
      <w:r>
        <w:rPr>
          <w:rFonts w:ascii="Arial" w:cs="Arial" w:eastAsia="Arial" w:hAnsi="Arial"/>
          <w:color w:val="404040"/>
          <w:sz w:val="22"/>
          <w:szCs w:val="22"/>
        </w:rPr>
        <w:t xml:space="preserve">A major jump down to AVONEX at $7,381 — signals a clear tier break between ultra-specialty and specialty drugs</w:t>
      </w:r>
    </w:p>
    <w:p>
      <w:pPr>
        <w:pStyle w:val="ListParagraph"/>
        <w:numPr>
          <w:ilvl w:val="0"/>
          <w:numId w:val="2"/>
        </w:numPr>
        <w:spacing w:before="40" w:after="40" w:line="300"/>
      </w:pPr>
      <w:r>
        <w:rPr>
          <w:rFonts w:ascii="Arial" w:cs="Arial" w:eastAsia="Arial" w:hAnsi="Arial"/>
          <w:color w:val="404040"/>
          <w:sz w:val="22"/>
          <w:szCs w:val="22"/>
        </w:rPr>
        <w:t xml:space="preserve">The reference line at $12,377 shows that only 4 of 10 drugs exceed the portfolio average NADAC</w:t>
      </w:r>
    </w:p>
    <w:p>
      <w:pPr>
        <w:spacing w:before="60" w:after="0"/>
      </w:pPr>
      <w:r>
        <w:t xml:space="preserve"/>
      </w:r>
    </w:p>
    <w:p>
      <w:pPr>
        <w:pStyle w:val="Heading3"/>
        <w:spacing w:before="200" w:after="80"/>
      </w:pPr>
      <w:r>
        <w:rPr>
          <w:rFonts w:ascii="Arial" w:cs="Arial" w:eastAsia="Arial" w:hAnsi="Arial"/>
          <w:b/>
          <w:bCs/>
          <w:color w:val="404040"/>
          <w:sz w:val="24"/>
          <w:szCs w:val="24"/>
        </w:rPr>
        <w:t xml:space="preserve">Design decisions</w:t>
      </w:r>
    </w:p>
    <w:p>
      <w:pPr>
        <w:pStyle w:val="ListParagraph"/>
        <w:numPr>
          <w:ilvl w:val="0"/>
          <w:numId w:val="2"/>
        </w:numPr>
        <w:spacing w:before="40" w:after="40" w:line="300"/>
      </w:pPr>
      <w:r>
        <w:rPr>
          <w:rFonts w:ascii="Arial" w:cs="Arial" w:eastAsia="Arial" w:hAnsi="Arial"/>
          <w:color w:val="404040"/>
          <w:sz w:val="22"/>
          <w:szCs w:val="22"/>
        </w:rPr>
        <w:t xml:space="preserve">Sequential blue color ramp — darker = higher NADAC, immediately readable without a legend</w:t>
      </w:r>
    </w:p>
    <w:p>
      <w:pPr>
        <w:pStyle w:val="ListParagraph"/>
        <w:numPr>
          <w:ilvl w:val="0"/>
          <w:numId w:val="2"/>
        </w:numPr>
        <w:spacing w:before="40" w:after="40" w:line="300"/>
      </w:pPr>
      <w:r>
        <w:rPr>
          <w:rFonts w:ascii="Arial" w:cs="Arial" w:eastAsia="Arial" w:hAnsi="Arial"/>
          <w:color w:val="404040"/>
          <w:sz w:val="22"/>
          <w:szCs w:val="22"/>
        </w:rPr>
        <w:t xml:space="preserve">Reference line at avg NADAC $12,377 divides the chart into above/below average — key analytical insight</w:t>
      </w:r>
    </w:p>
    <w:p>
      <w:pPr>
        <w:pStyle w:val="ListParagraph"/>
        <w:numPr>
          <w:ilvl w:val="0"/>
          <w:numId w:val="2"/>
        </w:numPr>
        <w:spacing w:before="40" w:after="40" w:line="300"/>
      </w:pPr>
      <w:r>
        <w:rPr>
          <w:rFonts w:ascii="Arial" w:cs="Arial" w:eastAsia="Arial" w:hAnsi="Arial"/>
          <w:color w:val="404040"/>
          <w:sz w:val="22"/>
          <w:szCs w:val="22"/>
        </w:rPr>
        <w:t xml:space="preserve">Labels show clean dollar values ($25,519 not $25,519.00 or $25,519K)</w:t>
      </w:r>
    </w:p>
    <w:p>
      <w:pPr>
        <w:pStyle w:val="ListParagraph"/>
        <w:numPr>
          <w:ilvl w:val="0"/>
          <w:numId w:val="2"/>
        </w:numPr>
        <w:spacing w:before="40" w:after="40" w:line="300"/>
      </w:pPr>
      <w:r>
        <w:rPr>
          <w:rFonts w:ascii="Arial" w:cs="Arial" w:eastAsia="Arial" w:hAnsi="Arial"/>
          <w:color w:val="404040"/>
          <w:sz w:val="22"/>
          <w:szCs w:val="22"/>
        </w:rPr>
        <w:t xml:space="preserve">Sorted descending — most expensive at top, lowest at bottom</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What this tells a pharma analyst</w:t>
      </w:r>
    </w:p>
    <w:p>
      <w:pPr>
        <w:spacing w:before="80" w:after="80" w:line="320"/>
      </w:pPr>
      <w:r>
        <w:rPr>
          <w:rFonts w:ascii="Arial" w:cs="Arial" w:eastAsia="Arial" w:hAnsi="Arial"/>
          <w:color w:val="404040"/>
          <w:sz w:val="22"/>
          <w:szCs w:val="22"/>
        </w:rPr>
        <w:t xml:space="preserve">The top 4 drugs (STELARA and SKYRIZI) are ultra-specialty biologics with NADAC values 3-4x higher than the next tier. These drugs represent a disproportionate share of acquisition cost and would be prioritized in any rebate negotiation or formulary management strategy.</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4.4 Chart 4 — Gross-to-Net Gap by Quarter</w:t>
      </w:r>
    </w:p>
    <w:p>
      <w:pPr>
        <w:spacing w:before="40" w:after="0"/>
      </w:pPr>
      <w:r>
        <w:t xml:space="preserve"/>
      </w:r>
    </w:p>
    <w:p>
      <w:pPr>
        <w:spacing w:before="120" w:after="60"/>
        <w:jc w:val="center"/>
      </w:pPr>
      <w:r>
        <w:drawing>
          <wp:inline distT="0" distB="0" distL="0" distR="0">
            <wp:extent cx="6396132750" cy="408908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96132750" cy="4089082500"/>
                    </a:xfrm>
                    <a:prstGeom prst="rect">
                      <a:avLst/>
                    </a:prstGeom>
                  </pic:spPr>
                </pic:pic>
              </a:graphicData>
            </a:graphic>
          </wp:inline>
        </w:drawing>
      </w:r>
    </w:p>
    <w:p>
      <w:pPr>
        <w:spacing w:before="40" w:after="120"/>
        <w:jc w:val="center"/>
      </w:pPr>
      <w:r>
        <w:rPr>
          <w:rFonts w:ascii="Arial" w:cs="Arial" w:eastAsia="Arial" w:hAnsi="Arial"/>
          <w:i/>
          <w:iCs/>
          <w:color w:val="595959"/>
          <w:sz w:val="18"/>
          <w:szCs w:val="18"/>
        </w:rPr>
        <w:t xml:space="preserve">Figure 5: Average Gross-to-Net Gap by Quarter (2023 Q1 – 2024 Q4)</w:t>
      </w:r>
    </w:p>
    <w:p>
      <w:pPr>
        <w:spacing w:before="80" w:after="0"/>
      </w:pPr>
      <w:r>
        <w:t xml:space="preserve"/>
      </w:r>
    </w:p>
    <w:p>
      <w:pPr>
        <w:pStyle w:val="Heading3"/>
        <w:spacing w:before="200" w:after="80"/>
      </w:pPr>
      <w:r>
        <w:rPr>
          <w:rFonts w:ascii="Arial" w:cs="Arial" w:eastAsia="Arial" w:hAnsi="Arial"/>
          <w:b/>
          <w:bCs/>
          <w:color w:val="404040"/>
          <w:sz w:val="24"/>
          <w:szCs w:val="24"/>
        </w:rPr>
        <w:t xml:space="preserve">What we built</w:t>
      </w:r>
    </w:p>
    <w:p>
      <w:pPr>
        <w:spacing w:before="80" w:after="80" w:line="320"/>
      </w:pPr>
      <w:r>
        <w:rPr>
          <w:rFonts w:ascii="Arial" w:cs="Arial" w:eastAsia="Arial" w:hAnsi="Arial"/>
          <w:color w:val="404040"/>
          <w:sz w:val="22"/>
          <w:szCs w:val="22"/>
        </w:rPr>
        <w:t xml:space="preserve">A vertical bar chart showing the average Gross-to-Net Gap percentage per quarter. Bars are colored using a sequential blue ramp where darker blue indicates a deeper discount (more negative GTN). Outlier rows at exactly -100% were excluded using a calculated field (GTN Cleaned) before averaging.</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What we are communicating</w:t>
      </w:r>
    </w:p>
    <w:p>
      <w:pPr>
        <w:spacing w:before="80" w:after="80" w:line="320"/>
      </w:pPr>
      <w:r>
        <w:rPr>
          <w:rFonts w:ascii="Arial" w:cs="Arial" w:eastAsia="Arial" w:hAnsi="Arial"/>
          <w:color w:val="404040"/>
          <w:sz w:val="22"/>
          <w:szCs w:val="22"/>
        </w:rPr>
        <w:t xml:space="preserve">How much of the list price manufacturers are actually retaining after all rebates and discounts. A GTN of -57% means the manufacturer receives only 43 cents for every dollar of list price. This is one of the most important metrics in pharma pricing because it reveals the true financial picture beneath the list price.</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Why we excluded -100% rows</w:t>
      </w:r>
    </w:p>
    <w:p>
      <w:pPr>
        <w:spacing w:before="80" w:after="80" w:line="320"/>
      </w:pPr>
      <w:r>
        <w:rPr>
          <w:rFonts w:ascii="Arial" w:cs="Arial" w:eastAsia="Arial" w:hAnsi="Arial"/>
          <w:color w:val="404040"/>
          <w:sz w:val="22"/>
          <w:szCs w:val="22"/>
        </w:rPr>
        <w:t xml:space="preserve">The raw data contains many rows where Gross_to_Net_Pct = -100%, meaning the drug was provided at zero net cost (full rebate). Including these in the average would make the GTN appear far more negative than it is for drugs where real pricing dynamics are occurring. The GTN Cleaned calculated field uses: IF Gross_to_Net_Pct &gt; -100 AND Gross_to_Net_Pct &lt; 0 THEN Gross_to_Net_Pct ELSE NULL END.</w:t>
      </w:r>
    </w:p>
    <w:p>
      <w:pPr>
        <w:spacing w:before="60" w:after="0"/>
      </w:pPr>
      <w:r>
        <w:t xml:space="preserve"/>
      </w:r>
    </w:p>
    <w:p>
      <w:pPr>
        <w:pStyle w:val="Heading3"/>
        <w:spacing w:before="200" w:after="80"/>
      </w:pPr>
      <w:r>
        <w:rPr>
          <w:rFonts w:ascii="Arial" w:cs="Arial" w:eastAsia="Arial" w:hAnsi="Arial"/>
          <w:b/>
          <w:bCs/>
          <w:color w:val="404040"/>
          <w:sz w:val="24"/>
          <w:szCs w:val="24"/>
        </w:rPr>
        <w:t xml:space="preserve">Key findings</w:t>
      </w:r>
    </w:p>
    <w:p>
      <w:pPr>
        <w:pStyle w:val="ListParagraph"/>
        <w:numPr>
          <w:ilvl w:val="0"/>
          <w:numId w:val="2"/>
        </w:numPr>
        <w:spacing w:before="40" w:after="40" w:line="300"/>
      </w:pPr>
      <w:r>
        <w:rPr>
          <w:rFonts w:ascii="Arial" w:cs="Arial" w:eastAsia="Arial" w:hAnsi="Arial"/>
          <w:color w:val="404040"/>
          <w:sz w:val="22"/>
          <w:szCs w:val="22"/>
        </w:rPr>
        <w:t xml:space="preserve">2023 was remarkably stable: GTN ranged from -56.81% to -57.96% across four quarters</w:t>
      </w:r>
    </w:p>
    <w:p>
      <w:pPr>
        <w:pStyle w:val="ListParagraph"/>
        <w:numPr>
          <w:ilvl w:val="0"/>
          <w:numId w:val="2"/>
        </w:numPr>
        <w:spacing w:before="40" w:after="40" w:line="300"/>
      </w:pPr>
      <w:r>
        <w:rPr>
          <w:rFonts w:ascii="Arial" w:cs="Arial" w:eastAsia="Arial" w:hAnsi="Arial"/>
          <w:color w:val="404040"/>
          <w:sz w:val="22"/>
          <w:szCs w:val="22"/>
        </w:rPr>
        <w:t xml:space="preserve">2024 Q3 deepened to -62.53% — suggesting more aggressive rebating or competitive pressure</w:t>
      </w:r>
    </w:p>
    <w:p>
      <w:pPr>
        <w:pStyle w:val="ListParagraph"/>
        <w:numPr>
          <w:ilvl w:val="0"/>
          <w:numId w:val="2"/>
        </w:numPr>
        <w:spacing w:before="40" w:after="40" w:line="300"/>
      </w:pPr>
      <w:r>
        <w:rPr>
          <w:rFonts w:ascii="Arial" w:cs="Arial" w:eastAsia="Arial" w:hAnsi="Arial"/>
          <w:color w:val="404040"/>
          <w:sz w:val="22"/>
          <w:szCs w:val="22"/>
        </w:rPr>
        <w:t xml:space="preserve">2024 Q4 recovered to -53.53% — the most favorable GTN in the dataset</w:t>
      </w:r>
    </w:p>
    <w:p>
      <w:pPr>
        <w:pStyle w:val="ListParagraph"/>
        <w:numPr>
          <w:ilvl w:val="0"/>
          <w:numId w:val="2"/>
        </w:numPr>
        <w:spacing w:before="40" w:after="40" w:line="300"/>
      </w:pPr>
      <w:r>
        <w:rPr>
          <w:rFonts w:ascii="Arial" w:cs="Arial" w:eastAsia="Arial" w:hAnsi="Arial"/>
          <w:color w:val="404040"/>
          <w:sz w:val="22"/>
          <w:szCs w:val="22"/>
        </w:rPr>
        <w:t xml:space="preserve">The 2023 stability tells a consistent rebating story; the 2024 swings suggest portfolio mix effects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What this tells a pharma analyst</w:t>
      </w:r>
    </w:p>
    <w:p>
      <w:pPr>
        <w:spacing w:before="80" w:after="80" w:line="320"/>
      </w:pPr>
      <w:r>
        <w:rPr>
          <w:rFonts w:ascii="Arial" w:cs="Arial" w:eastAsia="Arial" w:hAnsi="Arial"/>
          <w:color w:val="404040"/>
          <w:sz w:val="22"/>
          <w:szCs w:val="22"/>
        </w:rPr>
        <w:t xml:space="preserve">A deepening GTN gap (more negative) can mean the manufacturer is under competitive pressure and offering bigger rebates to maintain formulary position. A recovering GTN (less negative, as in 2024 Q4) could signal that lower-rebate generics now dominate the mix, or that negotiating positions have improved. Either way, GTN trend is essential for revenue forecasting.</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4.5 Chart 5 — Price Volatility Distribution</w:t>
      </w:r>
    </w:p>
    <w:p>
      <w:pPr>
        <w:spacing w:before="40" w:after="0"/>
      </w:pPr>
      <w:r>
        <w:t xml:space="preserve"/>
      </w:r>
    </w:p>
    <w:p>
      <w:pPr>
        <w:spacing w:before="120" w:after="60"/>
        <w:jc w:val="center"/>
      </w:pPr>
      <w:r>
        <w:drawing>
          <wp:inline distT="0" distB="0" distL="0" distR="0">
            <wp:extent cx="6539503050" cy="363902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39503050" cy="3639026250"/>
                    </a:xfrm>
                    <a:prstGeom prst="rect">
                      <a:avLst/>
                    </a:prstGeom>
                  </pic:spPr>
                </pic:pic>
              </a:graphicData>
            </a:graphic>
          </wp:inline>
        </w:drawing>
      </w:r>
    </w:p>
    <w:p>
      <w:pPr>
        <w:spacing w:before="40" w:after="120"/>
        <w:jc w:val="center"/>
      </w:pPr>
      <w:r>
        <w:rPr>
          <w:rFonts w:ascii="Arial" w:cs="Arial" w:eastAsia="Arial" w:hAnsi="Arial"/>
          <w:i/>
          <w:iCs/>
          <w:color w:val="595959"/>
          <w:sz w:val="18"/>
          <w:szCs w:val="18"/>
        </w:rPr>
        <w:t xml:space="preserve">Figure 6: Price Volatility Distribution by Coefficient of Variation Bucket</w:t>
      </w:r>
    </w:p>
    <w:p>
      <w:pPr>
        <w:spacing w:before="80" w:after="0"/>
      </w:pPr>
      <w:r>
        <w:t xml:space="preserve"/>
      </w:r>
    </w:p>
    <w:p>
      <w:pPr>
        <w:pStyle w:val="Heading3"/>
        <w:spacing w:before="200" w:after="80"/>
      </w:pPr>
      <w:r>
        <w:rPr>
          <w:rFonts w:ascii="Arial" w:cs="Arial" w:eastAsia="Arial" w:hAnsi="Arial"/>
          <w:b/>
          <w:bCs/>
          <w:color w:val="404040"/>
          <w:sz w:val="24"/>
          <w:szCs w:val="24"/>
        </w:rPr>
        <w:t xml:space="preserve">What we built</w:t>
      </w:r>
    </w:p>
    <w:p>
      <w:pPr>
        <w:spacing w:before="80" w:after="80" w:line="320"/>
      </w:pPr>
      <w:r>
        <w:rPr>
          <w:rFonts w:ascii="Arial" w:cs="Arial" w:eastAsia="Arial" w:hAnsi="Arial"/>
          <w:color w:val="404040"/>
          <w:sz w:val="22"/>
          <w:szCs w:val="22"/>
        </w:rPr>
        <w:t xml:space="preserve">A bar chart showing how many drugs fall into each volatility bucket. The Coefficient of Variation (CV) is calculated per drug using a Level of Detail (LOD) expression that fixes the average CV at the drug level across all quarters. Drugs with NULL CV values (87 drugs with no volatility data) are excluded. Colors use a traffic light palette: green (Low), yellow (Medium), orange (High), red (Very High).</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What we are communicating</w:t>
      </w:r>
    </w:p>
    <w:p>
      <w:pPr>
        <w:spacing w:before="80" w:after="80" w:line="320"/>
      </w:pPr>
      <w:r>
        <w:rPr>
          <w:rFonts w:ascii="Arial" w:cs="Arial" w:eastAsia="Arial" w:hAnsi="Arial"/>
          <w:color w:val="404040"/>
          <w:sz w:val="22"/>
          <w:szCs w:val="22"/>
        </w:rPr>
        <w:t xml:space="preserve">Price stability across the portfolio. A drug with high CV is a pricing risk — its cost to acquire swings significantly quarter to quarter, making it hard for pharmacies, payers, and PBMs to budget. A drug with low CV is predictable and stable.</w:t>
      </w:r>
    </w:p>
    <w:p>
      <w:pPr>
        <w:spacing w:before="60" w:after="0"/>
      </w:pPr>
      <w:r>
        <w:t xml:space="preserve"/>
      </w:r>
    </w:p>
    <w:p>
      <w:pPr>
        <w:pStyle w:val="Heading3"/>
        <w:spacing w:before="200" w:after="80"/>
      </w:pPr>
      <w:r>
        <w:rPr>
          <w:rFonts w:ascii="Arial" w:cs="Arial" w:eastAsia="Arial" w:hAnsi="Arial"/>
          <w:b/>
          <w:bCs/>
          <w:color w:val="404040"/>
          <w:sz w:val="24"/>
          <w:szCs w:val="24"/>
        </w:rPr>
        <w:t xml:space="preserve">Volatility bucket definitions</w:t>
      </w:r>
    </w:p>
    <w:p>
      <w:pPr>
        <w:pStyle w:val="ListParagraph"/>
        <w:numPr>
          <w:ilvl w:val="0"/>
          <w:numId w:val="2"/>
        </w:numPr>
        <w:spacing w:before="40" w:after="40" w:line="300"/>
      </w:pPr>
      <w:r>
        <w:rPr>
          <w:rFonts w:ascii="Arial" w:cs="Arial" w:eastAsia="Arial" w:hAnsi="Arial"/>
          <w:color w:val="404040"/>
          <w:sz w:val="22"/>
          <w:szCs w:val="22"/>
        </w:rPr>
        <w:t xml:space="preserve">Low (CV &lt; 20): 80 drugs — prices are very stable, less than 20% variation around the mean</w:t>
      </w:r>
    </w:p>
    <w:p>
      <w:pPr>
        <w:pStyle w:val="ListParagraph"/>
        <w:numPr>
          <w:ilvl w:val="0"/>
          <w:numId w:val="2"/>
        </w:numPr>
        <w:spacing w:before="40" w:after="40" w:line="300"/>
      </w:pPr>
      <w:r>
        <w:rPr>
          <w:rFonts w:ascii="Arial" w:cs="Arial" w:eastAsia="Arial" w:hAnsi="Arial"/>
          <w:color w:val="404040"/>
          <w:sz w:val="22"/>
          <w:szCs w:val="22"/>
        </w:rPr>
        <w:t xml:space="preserve">Medium (CV 20-50): 30 drugs — moderate price variation, manageable for budgeting</w:t>
      </w:r>
    </w:p>
    <w:p>
      <w:pPr>
        <w:pStyle w:val="ListParagraph"/>
        <w:numPr>
          <w:ilvl w:val="0"/>
          <w:numId w:val="2"/>
        </w:numPr>
        <w:spacing w:before="40" w:after="40" w:line="300"/>
      </w:pPr>
      <w:r>
        <w:rPr>
          <w:rFonts w:ascii="Arial" w:cs="Arial" w:eastAsia="Arial" w:hAnsi="Arial"/>
          <w:color w:val="404040"/>
          <w:sz w:val="22"/>
          <w:szCs w:val="22"/>
        </w:rPr>
        <w:t xml:space="preserve">High (CV 50-100): 17 drugs — significant price swings, warrants monitoring</w:t>
      </w:r>
    </w:p>
    <w:p>
      <w:pPr>
        <w:pStyle w:val="ListParagraph"/>
        <w:numPr>
          <w:ilvl w:val="0"/>
          <w:numId w:val="2"/>
        </w:numPr>
        <w:spacing w:before="40" w:after="40" w:line="300"/>
      </w:pPr>
      <w:r>
        <w:rPr>
          <w:rFonts w:ascii="Arial" w:cs="Arial" w:eastAsia="Arial" w:hAnsi="Arial"/>
          <w:color w:val="404040"/>
          <w:sz w:val="22"/>
          <w:szCs w:val="22"/>
        </w:rPr>
        <w:t xml:space="preserve">Very High (CV &gt; 100): 6 drugs — extreme price volatility, pricing risk flag</w:t>
      </w:r>
    </w:p>
    <w:p>
      <w:pPr>
        <w:pStyle w:val="ListParagraph"/>
        <w:numPr>
          <w:ilvl w:val="0"/>
          <w:numId w:val="2"/>
        </w:numPr>
        <w:spacing w:before="40" w:after="40" w:line="300"/>
      </w:pPr>
      <w:r>
        <w:rPr>
          <w:rFonts w:ascii="Arial" w:cs="Arial" w:eastAsia="Arial" w:hAnsi="Arial"/>
          <w:color w:val="404040"/>
          <w:sz w:val="22"/>
          <w:szCs w:val="22"/>
        </w:rPr>
        <w:t xml:space="preserve">NULL (no data): 87 drugs excluded — these are drugs without sufficient pricing data to calculate CV</w:t>
      </w:r>
    </w:p>
    <w:p>
      <w:pPr>
        <w:spacing w:before="60" w:after="0"/>
      </w:pPr>
      <w:r>
        <w:t xml:space="preserve"/>
      </w:r>
    </w:p>
    <w:p>
      <w:pPr>
        <w:pStyle w:val="Heading3"/>
        <w:spacing w:before="200" w:after="80"/>
      </w:pPr>
      <w:r>
        <w:rPr>
          <w:rFonts w:ascii="Arial" w:cs="Arial" w:eastAsia="Arial" w:hAnsi="Arial"/>
          <w:b/>
          <w:bCs/>
          <w:color w:val="404040"/>
          <w:sz w:val="24"/>
          <w:szCs w:val="24"/>
        </w:rPr>
        <w:t xml:space="preserve">The LOD fix</w:t>
      </w:r>
    </w:p>
    <w:p>
      <w:pPr>
        <w:spacing w:before="80" w:after="80" w:line="320"/>
      </w:pPr>
      <w:r>
        <w:rPr>
          <w:rFonts w:ascii="Arial" w:cs="Arial" w:eastAsia="Arial" w:hAnsi="Arial"/>
          <w:color w:val="404040"/>
          <w:sz w:val="22"/>
          <w:szCs w:val="22"/>
        </w:rPr>
        <w:t xml:space="preserve">Without the LOD expression, Tableau counted a drug in multiple buckets if its CV varied across quarters. The formula FIXED [Drug_Name_Clean] : AVG([Volatility_CV]) computes one average CV per drug across all its quarters, then assigns it to exactly one bucket. This is why the counts changed from 96 (wrong) to 6 (correct) for the Very High bucket — the 90 excess entries were drugs being counted multiple times.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What this tells a pharma analyst</w:t>
      </w:r>
    </w:p>
    <w:p>
      <w:pPr>
        <w:spacing w:before="80" w:after="80" w:line="320"/>
      </w:pPr>
      <w:r>
        <w:rPr>
          <w:rFonts w:ascii="Arial" w:cs="Arial" w:eastAsia="Arial" w:hAnsi="Arial"/>
          <w:color w:val="404040"/>
          <w:sz w:val="22"/>
          <w:szCs w:val="22"/>
        </w:rPr>
        <w:t xml:space="preserve">65% of the trackable portfolio (80 out of 123 drugs with CV data) has stable, predictable pricing. Only 6 drugs have extreme volatility (CV &gt; 100) and these would be priority candidates for price protection clauses in payer contracts or enhanced monitoring in formulary management.</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4.6 Chart 6 — FDA Approvals by Year</w:t>
      </w:r>
    </w:p>
    <w:p>
      <w:pPr>
        <w:spacing w:before="40" w:after="0"/>
      </w:pPr>
      <w:r>
        <w:t xml:space="preserve"/>
      </w:r>
    </w:p>
    <w:p>
      <w:pPr>
        <w:spacing w:before="120" w:after="60"/>
        <w:jc w:val="center"/>
      </w:pPr>
      <w:r>
        <w:drawing>
          <wp:inline distT="0" distB="0" distL="0" distR="0">
            <wp:extent cx="6380988000" cy="40789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380988000" cy="4078986000"/>
                    </a:xfrm>
                    <a:prstGeom prst="rect">
                      <a:avLst/>
                    </a:prstGeom>
                  </pic:spPr>
                </pic:pic>
              </a:graphicData>
            </a:graphic>
          </wp:inline>
        </w:drawing>
      </w:r>
    </w:p>
    <w:p>
      <w:pPr>
        <w:spacing w:before="40" w:after="120"/>
        <w:jc w:val="center"/>
      </w:pPr>
      <w:r>
        <w:rPr>
          <w:rFonts w:ascii="Arial" w:cs="Arial" w:eastAsia="Arial" w:hAnsi="Arial"/>
          <w:i/>
          <w:iCs/>
          <w:color w:val="595959"/>
          <w:sz w:val="18"/>
          <w:szCs w:val="18"/>
        </w:rPr>
        <w:t xml:space="preserve">Figure 7: FDA Drug Approvals by Year (2015–2024), colored by Review Type</w:t>
      </w:r>
    </w:p>
    <w:p>
      <w:pPr>
        <w:spacing w:before="80" w:after="0"/>
      </w:pPr>
      <w:r>
        <w:t xml:space="preserve"/>
      </w:r>
    </w:p>
    <w:p>
      <w:pPr>
        <w:pStyle w:val="Heading3"/>
        <w:spacing w:before="200" w:after="80"/>
      </w:pPr>
      <w:r>
        <w:rPr>
          <w:rFonts w:ascii="Arial" w:cs="Arial" w:eastAsia="Arial" w:hAnsi="Arial"/>
          <w:b/>
          <w:bCs/>
          <w:color w:val="404040"/>
          <w:sz w:val="24"/>
          <w:szCs w:val="24"/>
        </w:rPr>
        <w:t xml:space="preserve">What we built</w:t>
      </w:r>
    </w:p>
    <w:p>
      <w:pPr>
        <w:spacing w:before="80" w:after="80" w:line="320"/>
      </w:pPr>
      <w:r>
        <w:rPr>
          <w:rFonts w:ascii="Arial" w:cs="Arial" w:eastAsia="Arial" w:hAnsi="Arial"/>
          <w:color w:val="404040"/>
          <w:sz w:val="22"/>
          <w:szCs w:val="22"/>
        </w:rPr>
        <w:t xml:space="preserve">A stacked bar chart using the FDA_Reference data source (separate from the Master sheet). Each bar represents one calendar year, with height equal to the total number of drug approvals. Bars are split into two colors: Priority Review (dark blue) and Standard Review (light blue). The Review Type calculated field groups the four original designation variants into two clean categories using CONTAINS([Review Designation], "Priority").</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What we are communicating</w:t>
      </w:r>
    </w:p>
    <w:p>
      <w:pPr>
        <w:spacing w:before="80" w:after="80" w:line="320"/>
      </w:pPr>
      <w:r>
        <w:rPr>
          <w:rFonts w:ascii="Arial" w:cs="Arial" w:eastAsia="Arial" w:hAnsi="Arial"/>
          <w:color w:val="404040"/>
          <w:sz w:val="22"/>
          <w:szCs w:val="22"/>
        </w:rPr>
        <w:t xml:space="preserve">The FDA approval landscape over a decade — how many new drugs are being approved each year, and what share received expedited Priority Review. This contextualizes the portfolio: drugs in the portfolio came from these approval cohorts, and understanding approval trends helps predict future competitive dynamics.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Key findings</w:t>
      </w:r>
    </w:p>
    <w:p>
      <w:pPr>
        <w:pStyle w:val="ListParagraph"/>
        <w:numPr>
          <w:ilvl w:val="0"/>
          <w:numId w:val="2"/>
        </w:numPr>
        <w:spacing w:before="40" w:after="40" w:line="300"/>
      </w:pPr>
      <w:r>
        <w:rPr>
          <w:rFonts w:ascii="Arial" w:cs="Arial" w:eastAsia="Arial" w:hAnsi="Arial"/>
          <w:color w:val="404040"/>
          <w:sz w:val="22"/>
          <w:szCs w:val="22"/>
        </w:rPr>
        <w:t xml:space="preserve">2018 was the peak approval year with 59 approvals — the highest in the decade</w:t>
      </w:r>
    </w:p>
    <w:p>
      <w:pPr>
        <w:pStyle w:val="ListParagraph"/>
        <w:numPr>
          <w:ilvl w:val="0"/>
          <w:numId w:val="2"/>
        </w:numPr>
        <w:spacing w:before="40" w:after="40" w:line="300"/>
      </w:pPr>
      <w:r>
        <w:rPr>
          <w:rFonts w:ascii="Arial" w:cs="Arial" w:eastAsia="Arial" w:hAnsi="Arial"/>
          <w:color w:val="404040"/>
          <w:sz w:val="22"/>
          <w:szCs w:val="22"/>
        </w:rPr>
        <w:t xml:space="preserve">2022 was the lowest recent year at 37 approvals — a post-pandemic dip</w:t>
      </w:r>
    </w:p>
    <w:p>
      <w:pPr>
        <w:pStyle w:val="ListParagraph"/>
        <w:numPr>
          <w:ilvl w:val="0"/>
          <w:numId w:val="2"/>
        </w:numPr>
        <w:spacing w:before="40" w:after="40" w:line="300"/>
      </w:pPr>
      <w:r>
        <w:rPr>
          <w:rFonts w:ascii="Arial" w:cs="Arial" w:eastAsia="Arial" w:hAnsi="Arial"/>
          <w:color w:val="404040"/>
          <w:sz w:val="22"/>
          <w:szCs w:val="22"/>
        </w:rPr>
        <w:t xml:space="preserve">Priority Review consistently accounts for roughly 40-60% of approvals each year</w:t>
      </w:r>
    </w:p>
    <w:p>
      <w:pPr>
        <w:pStyle w:val="ListParagraph"/>
        <w:numPr>
          <w:ilvl w:val="0"/>
          <w:numId w:val="2"/>
        </w:numPr>
        <w:spacing w:before="40" w:after="40" w:line="300"/>
      </w:pPr>
      <w:r>
        <w:rPr>
          <w:rFonts w:ascii="Arial" w:cs="Arial" w:eastAsia="Arial" w:hAnsi="Arial"/>
          <w:color w:val="404040"/>
          <w:sz w:val="22"/>
          <w:szCs w:val="22"/>
        </w:rPr>
        <w:t xml:space="preserve">2023 and 2024 both returned to ~50 approvals, suggesting a healthy pipeline</w:t>
      </w:r>
    </w:p>
    <w:p>
      <w:pPr>
        <w:pStyle w:val="ListParagraph"/>
        <w:numPr>
          <w:ilvl w:val="0"/>
          <w:numId w:val="2"/>
        </w:numPr>
        <w:spacing w:before="40" w:after="40" w:line="300"/>
      </w:pPr>
      <w:r>
        <w:rPr>
          <w:rFonts w:ascii="Arial" w:cs="Arial" w:eastAsia="Arial" w:hAnsi="Arial"/>
          <w:color w:val="404040"/>
          <w:sz w:val="22"/>
          <w:szCs w:val="22"/>
        </w:rPr>
        <w:t xml:space="preserve">Priority Review count: 2018 had 44 priority approvals out of 59 total (74.6%)</w:t>
      </w:r>
    </w:p>
    <w:p>
      <w:pPr>
        <w:spacing w:before="60" w:after="0"/>
      </w:pPr>
      <w:r>
        <w:t xml:space="preserve"/>
      </w:r>
    </w:p>
    <w:p>
      <w:pPr>
        <w:pStyle w:val="Heading3"/>
        <w:spacing w:before="200" w:after="80"/>
      </w:pPr>
      <w:r>
        <w:rPr>
          <w:rFonts w:ascii="Arial" w:cs="Arial" w:eastAsia="Arial" w:hAnsi="Arial"/>
          <w:b/>
          <w:bCs/>
          <w:color w:val="404040"/>
          <w:sz w:val="24"/>
          <w:szCs w:val="24"/>
        </w:rPr>
        <w:t xml:space="preserve">Review Type definitions</w:t>
      </w:r>
    </w:p>
    <w:p>
      <w:pPr>
        <w:spacing w:before="60" w:after="60" w:line="300"/>
      </w:pPr>
      <w:r>
        <w:rPr>
          <w:rFonts w:ascii="Arial" w:cs="Arial" w:eastAsia="Arial" w:hAnsi="Arial"/>
          <w:b/>
          <w:bCs/>
          <w:color w:val="1F3864"/>
          <w:sz w:val="22"/>
          <w:szCs w:val="22"/>
        </w:rPr>
        <w:t xml:space="preserve">Priority Review: </w:t>
      </w:r>
      <w:r>
        <w:rPr>
          <w:rFonts w:ascii="Arial" w:cs="Arial" w:eastAsia="Arial" w:hAnsi="Arial"/>
          <w:color w:val="404040"/>
          <w:sz w:val="22"/>
          <w:szCs w:val="22"/>
        </w:rPr>
        <w:t xml:space="preserve">Granted to drugs that offer major advances in treatment or provide treatments where none existed. Review timeline shortened from 10 months to 6 months. Higher bar for designation.</w:t>
      </w:r>
    </w:p>
    <w:p>
      <w:pPr>
        <w:spacing w:before="60" w:after="60" w:line="300"/>
      </w:pPr>
      <w:r>
        <w:rPr>
          <w:rFonts w:ascii="Arial" w:cs="Arial" w:eastAsia="Arial" w:hAnsi="Arial"/>
          <w:b/>
          <w:bCs/>
          <w:color w:val="1F3864"/>
          <w:sz w:val="22"/>
          <w:szCs w:val="22"/>
        </w:rPr>
        <w:t xml:space="preserve">Standard Review: </w:t>
      </w:r>
      <w:r>
        <w:rPr>
          <w:rFonts w:ascii="Arial" w:cs="Arial" w:eastAsia="Arial" w:hAnsi="Arial"/>
          <w:color w:val="404040"/>
          <w:sz w:val="22"/>
          <w:szCs w:val="22"/>
        </w:rPr>
        <w:t xml:space="preserve">The default review pathway for drugs that offer modest or incremental advances. 10-month review timeline. Most drugs go through standard review.</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What this tells a pharma analyst</w:t>
      </w:r>
    </w:p>
    <w:p>
      <w:pPr>
        <w:spacing w:before="80" w:after="80" w:line="320"/>
      </w:pPr>
      <w:r>
        <w:rPr>
          <w:rFonts w:ascii="Arial" w:cs="Arial" w:eastAsia="Arial" w:hAnsi="Arial"/>
          <w:color w:val="404040"/>
          <w:sz w:val="22"/>
          <w:szCs w:val="22"/>
        </w:rPr>
        <w:t xml:space="preserve">A high proportion of Priority Reviews in a given year signals that the FDA received many novel, important drug applications — often correlating with breakthrough therapies or drugs for unmet needs. For competitive intelligence, tracking the Priority/Standard split helps anticipate which therapy areas will see significant new entrants.</w:t>
      </w:r>
    </w:p>
    <w:p>
      <w:r>
        <w:br w:type="page"/>
      </w:r>
    </w:p>
    <w:p>
      <w:pPr>
        <w:pStyle w:val="Heading1"/>
        <w:spacing w:before="360" w:after="120"/>
      </w:pPr>
      <w:r>
        <w:rPr>
          <w:rFonts w:ascii="Arial" w:cs="Arial" w:eastAsia="Arial" w:hAnsi="Arial"/>
          <w:b/>
          <w:bCs/>
          <w:color w:val="1F3864"/>
          <w:sz w:val="36"/>
          <w:szCs w:val="36"/>
        </w:rPr>
        <w:t xml:space="preserve">5. Data Quality Notes</w:t>
      </w:r>
    </w:p>
    <w:p>
      <w:pPr>
        <w:spacing w:before="80" w:after="80" w:line="320"/>
      </w:pPr>
      <w:r>
        <w:rPr>
          <w:rFonts w:ascii="Arial" w:cs="Arial" w:eastAsia="Arial" w:hAnsi="Arial"/>
          <w:color w:val="404040"/>
          <w:sz w:val="22"/>
          <w:szCs w:val="22"/>
        </w:rPr>
        <w:t xml:space="preserve">Understanding data limitations is as important as understanding the data itself. The following issues were identified and addressed during dashboard development.</w:t>
      </w:r>
    </w:p>
    <w:p>
      <w:pPr>
        <w:spacing w:before="80" w:after="0"/>
      </w:pPr>
      <w:r>
        <w:t xml:space="preserve"/>
      </w:r>
    </w:p>
    <w:p>
      <w:pPr>
        <w:pStyle w:val="Heading2"/>
        <w:pBdr>
          <w:bottom w:val="single" w:color="BA7517" w:sz="6" w:space="1"/>
        </w:pBdr>
        <w:spacing w:before="280" w:after="100"/>
      </w:pPr>
      <w:r>
        <w:rPr>
          <w:rFonts w:ascii="Arial" w:cs="Arial" w:eastAsia="Arial" w:hAnsi="Arial"/>
          <w:b/>
          <w:bCs/>
          <w:color w:val="BA7517"/>
          <w:sz w:val="28"/>
          <w:szCs w:val="28"/>
        </w:rPr>
        <w:t xml:space="preserve">5.1 Missing Quarters</w:t>
      </w:r>
    </w:p>
    <w:p>
      <w:pPr>
        <w:spacing w:before="80" w:after="80" w:line="320"/>
      </w:pPr>
      <w:r>
        <w:rPr>
          <w:rFonts w:ascii="Arial" w:cs="Arial" w:eastAsia="Arial" w:hAnsi="Arial"/>
          <w:color w:val="404040"/>
          <w:sz w:val="22"/>
          <w:szCs w:val="22"/>
        </w:rPr>
        <w:t xml:space="preserve">The Master dataset contains data for 2023 Q1 through Q4 and 2024 Q3 and Q4. Data for 2024 Q1 and Q2 is absent. This is not a data error — these quarters were not present in the source ASP_Pricing and NADAC files at the time of compilation. All trend charts include the annotation "2024 Q1-Q2 data unavailable" to prevent viewers from misinterpreting the gap as a gradual trend.</w:t>
      </w:r>
    </w:p>
    <w:p>
      <w:pPr>
        <w:spacing w:before="80" w:after="0"/>
      </w:pPr>
      <w:r>
        <w:t xml:space="preserve"/>
      </w:r>
    </w:p>
    <w:p>
      <w:pPr>
        <w:pStyle w:val="Heading2"/>
        <w:pBdr>
          <w:bottom w:val="single" w:color="BA7517" w:sz="6" w:space="1"/>
        </w:pBdr>
        <w:spacing w:before="280" w:after="100"/>
      </w:pPr>
      <w:r>
        <w:rPr>
          <w:rFonts w:ascii="Arial" w:cs="Arial" w:eastAsia="Arial" w:hAnsi="Arial"/>
          <w:b/>
          <w:bCs/>
          <w:color w:val="BA7517"/>
          <w:sz w:val="28"/>
          <w:szCs w:val="28"/>
        </w:rPr>
        <w:t xml:space="preserve">5.2 Portfolio Composition Shift</w:t>
      </w:r>
    </w:p>
    <w:p>
      <w:pPr>
        <w:spacing w:before="80" w:after="80" w:line="320"/>
      </w:pPr>
      <w:r>
        <w:rPr>
          <w:rFonts w:ascii="Arial" w:cs="Arial" w:eastAsia="Arial" w:hAnsi="Arial"/>
          <w:color w:val="404040"/>
          <w:sz w:val="22"/>
          <w:szCs w:val="22"/>
        </w:rPr>
        <w:t xml:space="preserve">The 2023 dataset contains 209-216 drugs per quarter including high-cost specialty biologics. The 2024 dataset contains only 42-46 drugs, primarily lower-cost generics. Direct year-over-year price comparisons are therefore misleading. All trend charts include the annotation "Portfolio: 216 to 46 drugs" at the drop point.</w:t>
      </w:r>
    </w:p>
    <w:p>
      <w:pPr>
        <w:spacing w:before="80" w:after="0"/>
      </w:pPr>
      <w:r>
        <w:t xml:space="preserve"/>
      </w:r>
    </w:p>
    <w:p>
      <w:pPr>
        <w:pStyle w:val="Heading2"/>
        <w:pBdr>
          <w:bottom w:val="single" w:color="BA7517" w:sz="6" w:space="1"/>
        </w:pBdr>
        <w:spacing w:before="280" w:after="100"/>
      </w:pPr>
      <w:r>
        <w:rPr>
          <w:rFonts w:ascii="Arial" w:cs="Arial" w:eastAsia="Arial" w:hAnsi="Arial"/>
          <w:b/>
          <w:bCs/>
          <w:color w:val="BA7517"/>
          <w:sz w:val="28"/>
          <w:szCs w:val="28"/>
        </w:rPr>
        <w:t xml:space="preserve">5.3 GTN Outliers</w:t>
      </w:r>
    </w:p>
    <w:p>
      <w:pPr>
        <w:spacing w:before="80" w:after="80" w:line="320"/>
      </w:pPr>
      <w:r>
        <w:rPr>
          <w:rFonts w:ascii="Arial" w:cs="Arial" w:eastAsia="Arial" w:hAnsi="Arial"/>
          <w:color w:val="404040"/>
          <w:sz w:val="22"/>
          <w:szCs w:val="22"/>
        </w:rPr>
        <w:t xml:space="preserve">The Gross_to_Net_Pct field contains rows with exactly -100% values, representing drugs provided at zero net cost. These are technically valid but represent a fundamentally different pricing scenario (full rebate) that distorts the average when included. A calculated field (GTN Cleaned) was created to exclude these rows while retaining all values between -100% and 0%.</w:t>
      </w:r>
    </w:p>
    <w:p>
      <w:pPr>
        <w:spacing w:before="80" w:after="0"/>
      </w:pPr>
      <w:r>
        <w:t xml:space="preserve"/>
      </w:r>
    </w:p>
    <w:p>
      <w:pPr>
        <w:pStyle w:val="Heading2"/>
        <w:pBdr>
          <w:bottom w:val="single" w:color="BA7517" w:sz="6" w:space="1"/>
        </w:pBdr>
        <w:spacing w:before="280" w:after="100"/>
      </w:pPr>
      <w:r>
        <w:rPr>
          <w:rFonts w:ascii="Arial" w:cs="Arial" w:eastAsia="Arial" w:hAnsi="Arial"/>
          <w:b/>
          <w:bCs/>
          <w:color w:val="BA7517"/>
          <w:sz w:val="28"/>
          <w:szCs w:val="28"/>
        </w:rPr>
        <w:t xml:space="preserve">5.4 Volatility CV NULLs</w:t>
      </w:r>
    </w:p>
    <w:p>
      <w:pPr>
        <w:spacing w:before="80" w:after="80" w:line="320"/>
      </w:pPr>
      <w:r>
        <w:rPr>
          <w:rFonts w:ascii="Arial" w:cs="Arial" w:eastAsia="Arial" w:hAnsi="Arial"/>
          <w:color w:val="404040"/>
          <w:sz w:val="22"/>
          <w:szCs w:val="22"/>
        </w:rPr>
        <w:t xml:space="preserve">87 of the 220 drugs have NULL values for Volatility_CV. These drugs did not have sufficient pricing observations to calculate a coefficient of variation. They are excluded from the Price Volatility Distribution chart and should not be inferred to have low or zero volatility.</w:t>
      </w:r>
    </w:p>
    <w:p>
      <w:r>
        <w:br w:type="page"/>
      </w:r>
    </w:p>
    <w:p>
      <w:pPr>
        <w:pStyle w:val="Heading1"/>
        <w:spacing w:before="360" w:after="120"/>
      </w:pPr>
      <w:r>
        <w:rPr>
          <w:rFonts w:ascii="Arial" w:cs="Arial" w:eastAsia="Arial" w:hAnsi="Arial"/>
          <w:b/>
          <w:bCs/>
          <w:color w:val="1F3864"/>
          <w:sz w:val="36"/>
          <w:szCs w:val="36"/>
        </w:rPr>
        <w:t xml:space="preserve">6. Calculated Fields Reference</w:t>
      </w:r>
    </w:p>
    <w:p>
      <w:pPr>
        <w:spacing w:before="80" w:after="80" w:line="320"/>
      </w:pPr>
      <w:r>
        <w:rPr>
          <w:rFonts w:ascii="Arial" w:cs="Arial" w:eastAsia="Arial" w:hAnsi="Arial"/>
          <w:color w:val="404040"/>
          <w:sz w:val="22"/>
          <w:szCs w:val="22"/>
        </w:rPr>
        <w:t xml:space="preserve">The following calculated fields were created in Tableau to support the dashboard visualizations.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GTN Cleaned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[Gross_to_Net_Pct] &gt; -100 AND [Gross_to_Net_Pct] &lt; 0 THEN [Gross_to_Net_Pct] ELSE NULL END
Excludes exact -100% rows (zero net price) from GTN averages.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Volatility Bucket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ISNULL({FIXED [Drug_Name_Clean]: AVG([Volatility_CV])}) THEN NULL
ELSEIF {FIXED ...} &lt; 20 THEN "Low"
ELSEIF {FIXED ...} &lt; 50 THEN "Medium"
ELSEIF {FIXED ...} &lt; 100 THEN "High"
ELSE "Very High" END
Buckets each drug into a volatility tier based on its average CV across all quarters. LOD ensures each drug is assigned to exactly one bucket.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Review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CONTAINS([Review Designation], "Priority") THEN "Priority"
ELSE "Standard" END
Groups the four Review Designation variants in FDA_Reference into two clean categories.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Review Label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[Review Type] = "Priority" THEN "Priority Review"
ELSE "Standard Review" END
User-friendly label for tooltip display.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Priority 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[Review Label] = "Priority Review" THEN 1 ELSE 0 END
Row-level flag for Priority Review drugs. SUM() in tooltip gives total Priority approvals per year.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Standard 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IF [Review Type] = "Standard" THEN 1 ELSE 0 END
Row-level flag for Standard Review drugs. SUM() in tooltip gives total Standard approvals per year.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Quarter_Key Sort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[Year] * 10 + IF [Quarter] = "Q1" THEN 1 ELSEIF [Quarter] = "Q2" THEN 2 ELSEIF [Quarter] = "Q3" THEN 3 ELSE 4 END
Numeric sort key ensuring quarters display in chronological order (2023Q1 through 2024Q4).</w:t>
            </w:r>
          </w:p>
        </w:tc>
      </w:tr>
    </w:tbl>
    <w:p>
      <w:r>
        <w:br w:type="page"/>
      </w:r>
    </w:p>
    <w:p>
      <w:pPr>
        <w:pStyle w:val="Heading1"/>
        <w:spacing w:before="360" w:after="120"/>
      </w:pPr>
      <w:r>
        <w:rPr>
          <w:rFonts w:ascii="Arial" w:cs="Arial" w:eastAsia="Arial" w:hAnsi="Arial"/>
          <w:b/>
          <w:bCs/>
          <w:color w:val="1F3864"/>
          <w:sz w:val="36"/>
          <w:szCs w:val="36"/>
        </w:rPr>
        <w:t xml:space="preserve">7. The Dashboard Story</w:t>
      </w:r>
    </w:p>
    <w:p>
      <w:pPr>
        <w:spacing w:before="80" w:after="80" w:line="320"/>
      </w:pPr>
      <w:r>
        <w:rPr>
          <w:rFonts w:ascii="Arial" w:cs="Arial" w:eastAsia="Arial" w:hAnsi="Arial"/>
          <w:color w:val="404040"/>
          <w:sz w:val="22"/>
          <w:szCs w:val="22"/>
        </w:rPr>
        <w:t xml:space="preserve">A dashboard is only valuable if it tells a coherent story. Here is the narrative a viewer should walk away with after spending two minutes with this dashboard.</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7.1 The Opening</w:t>
      </w:r>
    </w:p>
    <w:p>
      <w:pPr>
        <w:spacing w:before="80" w:after="80" w:line="320"/>
      </w:pPr>
      <w:r>
        <w:rPr>
          <w:rFonts w:ascii="Arial" w:cs="Arial" w:eastAsia="Arial" w:hAnsi="Arial"/>
          <w:color w:val="404040"/>
          <w:sz w:val="22"/>
          <w:szCs w:val="22"/>
        </w:rPr>
        <w:t xml:space="preserve">The pharmaceutical pricing landscape is complex, opaque, and consequential. Drug prices affect patients, payers, pharmacies, and manufacturers. Understanding how drugs are priced — and the gap between what is listed and what is paid — is essential for anyone working in healthcare economics, managed care, or pharmaceutical strategy.</w:t>
      </w:r>
    </w:p>
    <w:p>
      <w:pPr>
        <w:spacing w:before="80" w:after="0"/>
      </w:pPr>
      <w:r>
        <w:t xml:space="preserve"/>
      </w:r>
    </w:p>
    <w:p>
      <w:pPr>
        <w:spacing w:before="80" w:after="80" w:line="320"/>
      </w:pPr>
      <w:r>
        <w:rPr>
          <w:rFonts w:ascii="Arial" w:cs="Arial" w:eastAsia="Arial" w:hAnsi="Arial"/>
          <w:color w:val="404040"/>
          <w:sz w:val="22"/>
          <w:szCs w:val="22"/>
        </w:rPr>
        <w:t xml:space="preserve">This dashboard analyzes 220 drugs across 109,552 pricing records spanning six quarters from 2023 through 2024. It tracks the prices pharmacies actually pay (NADAC), the discounts manufacturers give (GTN gap), the stability of those prices over time (volatility), and the regulatory context for new approvals (FDA trends).</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7.2 The Main Finding</w:t>
      </w:r>
    </w:p>
    <w:p>
      <w:pPr>
        <w:spacing w:before="80" w:after="80" w:line="320"/>
      </w:pPr>
      <w:r>
        <w:rPr>
          <w:rFonts w:ascii="Arial" w:cs="Arial" w:eastAsia="Arial" w:hAnsi="Arial"/>
          <w:color w:val="404040"/>
          <w:sz w:val="22"/>
          <w:szCs w:val="22"/>
        </w:rPr>
        <w:t xml:space="preserve">The headline number — average price dropping from $8.94 to $1.55 — is real but requires context. This is not a market-wide price collapse. It reflects a portfolio composition change: the 2023 dataset included 216 drugs with several ultra-expensive specialty biologics (STELARA at $25,519 NADAC, SKYRIZI at $18,548). By 2024 Q3, only 46 drugs remained in the dataset, predominantly lower-cost generics. The expensive drugs did not get cheaper; they simply stopped appearing in the data.</w:t>
      </w:r>
    </w:p>
    <w:p>
      <w:pPr>
        <w:spacing w:before="80" w:after="0"/>
      </w:pPr>
      <w:r>
        <w:t xml:space="preserve"/>
      </w:r>
    </w:p>
    <w:p>
      <w:pPr>
        <w:spacing w:before="80" w:after="80" w:line="320"/>
      </w:pPr>
      <w:r>
        <w:rPr>
          <w:rFonts w:ascii="Arial" w:cs="Arial" w:eastAsia="Arial" w:hAnsi="Arial"/>
          <w:color w:val="404040"/>
          <w:sz w:val="22"/>
          <w:szCs w:val="22"/>
        </w:rPr>
        <w:t xml:space="preserve">This distinction is critical for anyone using this dashboard to make decisions. The trend lines are annotated clearly to communicate this, with "Portfolio: 216 to 46 drugs" pinned to the cliff point on both trend charts.</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7.3 The Supporting Evidence</w:t>
      </w:r>
    </w:p>
    <w:p>
      <w:pPr>
        <w:spacing w:before="80" w:after="80" w:line="320"/>
      </w:pPr>
      <w:r>
        <w:rPr>
          <w:rFonts w:ascii="Arial" w:cs="Arial" w:eastAsia="Arial" w:hAnsi="Arial"/>
          <w:color w:val="404040"/>
          <w:sz w:val="22"/>
          <w:szCs w:val="22"/>
        </w:rPr>
        <w:t xml:space="preserve">The Top 10 Drugs by NADAC chart confirms the specialty drug story: the four most expensive drugs (STELARA and SKYRIZI in two formulations each) account for NADAC values between $18,000 and $25,000 per unit — far exceeding the portfolio average of $12,377. These are the drugs driving the 2023 high averages, and their absence explains the 2024 drop.</w:t>
      </w:r>
    </w:p>
    <w:p>
      <w:pPr>
        <w:spacing w:before="80" w:after="0"/>
      </w:pPr>
      <w:r>
        <w:t xml:space="preserve"/>
      </w:r>
    </w:p>
    <w:p>
      <w:pPr>
        <w:spacing w:before="80" w:after="80" w:line="320"/>
      </w:pPr>
      <w:r>
        <w:rPr>
          <w:rFonts w:ascii="Arial" w:cs="Arial" w:eastAsia="Arial" w:hAnsi="Arial"/>
          <w:color w:val="404040"/>
          <w:sz w:val="22"/>
          <w:szCs w:val="22"/>
        </w:rPr>
        <w:t xml:space="preserve">The GTN Gap chart shows remarkable stability in 2023 (-56.8% to -58.0%) followed by a deepening in 2024 Q3 (-62.5%) and recovery in 2024 Q4 (-53.5%). The 2023 stability suggests consistent rebating practices across the portfolio. The 2024 fluctuation likely reflects the changed portfolio mix rather than a genuine shift in manufacturer rebating behavior.</w:t>
      </w:r>
    </w:p>
    <w:p>
      <w:pPr>
        <w:spacing w:before="80" w:after="0"/>
      </w:pPr>
      <w:r>
        <w:t xml:space="preserve"/>
      </w:r>
    </w:p>
    <w:p>
      <w:pPr>
        <w:spacing w:before="80" w:after="80" w:line="320"/>
      </w:pPr>
      <w:r>
        <w:rPr>
          <w:rFonts w:ascii="Arial" w:cs="Arial" w:eastAsia="Arial" w:hAnsi="Arial"/>
          <w:color w:val="404040"/>
          <w:sz w:val="22"/>
          <w:szCs w:val="22"/>
        </w:rPr>
        <w:t xml:space="preserve">The Price Volatility Distribution shows that 65% of drugs with available data have low, predictable pricing (CV &lt; 20). Only 6 drugs exhibit extreme volatility (CV &gt; 100), representing pricing risk that would warrant closer monitoring in a real managed care or PBM context.</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7.4 The Broader Context</w:t>
      </w:r>
    </w:p>
    <w:p>
      <w:pPr>
        <w:spacing w:before="80" w:after="80" w:line="320"/>
      </w:pPr>
      <w:r>
        <w:rPr>
          <w:rFonts w:ascii="Arial" w:cs="Arial" w:eastAsia="Arial" w:hAnsi="Arial"/>
          <w:color w:val="404040"/>
          <w:sz w:val="22"/>
          <w:szCs w:val="22"/>
        </w:rPr>
        <w:t xml:space="preserve">The FDA Approvals chart places this portfolio in its regulatory context. 465 drugs were approved between 2015 and 2024, with 2018 being the peak year at 59 approvals. Priority Review consistently accounts for 40-60% of approvals annually, reflecting the FDA's commitment to expedited review for clinically meaningful innovations. The drugs in this portfolio are products of this approval pipeline, and the approval trends signal what the future competitive landscape will look like.</w:t>
      </w:r>
    </w:p>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7.5 The Takeaway</w:t>
      </w:r>
    </w:p>
    <w:p>
      <w:pPr>
        <w:spacing w:before="80" w:after="80" w:line="320"/>
      </w:pPr>
      <w:r>
        <w:rPr>
          <w:rFonts w:ascii="Arial" w:cs="Arial" w:eastAsia="Arial" w:hAnsi="Arial"/>
          <w:color w:val="404040"/>
          <w:sz w:val="22"/>
          <w:szCs w:val="22"/>
        </w:rPr>
        <w:t xml:space="preserve">For a portfolio pricing analyst, this dashboard delivers four actionable insights. First, the portfolio is dominated by a small number of ultra-high-cost specialty biologics that have an outsized effect on average metrics — pricing strategy should focus disproportionately on these drugs. Second, the gross-to-net gap averaging -57% means manufacturers are retaining less than half of list price, suggesting significant rebating pressure that should inform revenue forecasting. Third, most of the portfolio has stable, predictable pricing (CV &lt; 20) which simplifies budgeting for the majority of drugs. Fourth, the FDA continues to approve roughly 50 drugs per year with strong Priority Review representation, signaling a healthy innovation pipeline that will continuously refresh competitive dynamics.</w:t>
      </w:r>
    </w:p>
    <w:p>
      <w:r>
        <w:br w:type="page"/>
      </w:r>
    </w:p>
    <w:p>
      <w:pPr>
        <w:pStyle w:val="Heading1"/>
        <w:spacing w:before="360" w:after="120"/>
      </w:pPr>
      <w:r>
        <w:rPr>
          <w:rFonts w:ascii="Arial" w:cs="Arial" w:eastAsia="Arial" w:hAnsi="Arial"/>
          <w:b/>
          <w:bCs/>
          <w:color w:val="1F3864"/>
          <w:sz w:val="36"/>
          <w:szCs w:val="36"/>
        </w:rPr>
        <w:t xml:space="preserve">8. Technical Setup Reference</w:t>
      </w:r>
    </w:p>
    <w:p>
      <w:pPr>
        <w:spacing w:before="6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8.1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Master (Primary)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109,552 rows. Contains NDC codes, drug names, quarterly pricing (NADAC, Avg Price, Payment Limit), GTN metrics, volatility calculations, and FDA designation flags. Covers 220 drugs across 6 quarters.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FDA_Reference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1,341 rows. Contains proprietary drug names, active ingredients, applicants, approval dates and years, review designations (Priority/Standard), and special designations (Orphan, Breakthrough, Fast Track). Used for the FDA Approvals by Year chart.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ASP_Pricing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6,418 rows. Contains HCPCS codes, payment limits, and quarterly ASP data. The crosswalk between NADAC and ASP pricing systems.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ASP_Crosswalk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35,384 rows. Maps HCPCS codes to NDC codes, linking the ASP and NADAC pricing systems.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PPI_Index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104 rows. Quarterly Producer Price Index values used to inflation-adjust drug prices in the Master sheet.</w:t>
            </w:r>
          </w:p>
        </w:tc>
      </w:tr>
    </w:tbl>
    <w:p>
      <w:pPr>
        <w:spacing w:before="120" w:after="0"/>
      </w:pPr>
      <w:r>
        <w:t xml:space="preserve"/>
      </w:r>
    </w:p>
    <w:p>
      <w:pPr>
        <w:pStyle w:val="Heading2"/>
        <w:pBdr>
          <w:bottom w:val="single" w:color="2E75B6" w:sz="6" w:space="1"/>
        </w:pBdr>
        <w:spacing w:before="280" w:after="100"/>
      </w:pPr>
      <w:r>
        <w:rPr>
          <w:rFonts w:ascii="Arial" w:cs="Arial" w:eastAsia="Arial" w:hAnsi="Arial"/>
          <w:b/>
          <w:bCs/>
          <w:color w:val="2E75B6"/>
          <w:sz w:val="28"/>
          <w:szCs w:val="28"/>
        </w:rPr>
        <w:t xml:space="preserve">8.2 Dashboard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Canvas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Fixed 1400 x 900 pixels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Primary Font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Tableau Book / Arial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Title Font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18pt Bold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Chart Title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12pt Bold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Axis Label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10pt Regular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Color Palette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Sequential blue for NADAC/GTN charts. Traffic light (Green/Yellow/Orange/Red) for volatility. Two-tone blue for FDA stacked bars.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Filters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Year, Quarter, Drug Name (apply to all worksheets using Master data source)</w:t>
            </w:r>
          </w:p>
        </w:tc>
      </w:tr>
    </w:tbl>
    <w:p>
      <w:pPr>
        <w:spacing w:before="200" w:after="0"/>
      </w:pPr>
      <w:r>
        <w:t xml:space="preserve"/>
      </w:r>
    </w:p>
    <w:p>
      <w:pPr>
        <w:pBdr>
          <w:top w:val="single" w:color="2E75B6" w:sz="4" w:space="6"/>
        </w:pBdr>
        <w:spacing w:before="480"/>
        <w:jc w:val="center"/>
      </w:pPr>
      <w:r>
        <w:rPr>
          <w:rFonts w:ascii="Arial" w:cs="Arial" w:eastAsia="Arial" w:hAnsi="Arial"/>
          <w:i/>
          <w:iCs/>
          <w:color w:val="595959"/>
          <w:sz w:val="20"/>
          <w:szCs w:val="20"/>
        </w:rPr>
        <w:t xml:space="preserve">End of Document</w:t>
      </w:r>
    </w:p>
    <w:p>
      <w:pPr>
        <w:jc w:val="center"/>
      </w:pPr>
      <w:r>
        <w:rPr>
          <w:rFonts w:ascii="Arial" w:cs="Arial" w:eastAsia="Arial" w:hAnsi="Arial"/>
          <w:color w:val="595959"/>
          <w:sz w:val="18"/>
          <w:szCs w:val="18"/>
        </w:rPr>
        <w:t xml:space="preserve">Thrivikram Kotharu | MS Information Systems | Central Michigan University | GPA 3.8</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595959"/>
        <w:sz w:val="18"/>
        <w:szCs w:val="18"/>
      </w:rPr>
      <w:t xml:space="preserve">Thrivikram Kotharu | MS Information Systems, Central Michigan University</w:t>
    </w:r>
    <w:r>
      <w:rPr>
        <w:sz w:val="18"/>
        <w:szCs w:val="18"/>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b/>
        <w:bCs/>
        <w:color w:val="1F3864"/>
        <w:sz w:val="20"/>
        <w:szCs w:val="20"/>
      </w:rPr>
      <w:t xml:space="preserve">Pharmaceutical Pricing Portfolio Analysis &amp; Market Intelligence</w:t>
    </w:r>
    <w:r>
      <w:rPr>
        <w:rFonts w:ascii="Arial" w:cs="Arial" w:eastAsia="Arial" w:hAnsi="Arial"/>
        <w:sz w:val="20"/>
        <w:szCs w:val="20"/>
      </w:rPr>
      <w:t xml:space="preserve">	</w:t>
    </w:r>
    <w:r>
      <w:rPr>
        <w:rFonts w:ascii="Arial" w:cs="Arial" w:eastAsia="Arial" w:hAnsi="Arial"/>
        <w:color w:val="595959"/>
        <w:sz w:val="20"/>
        <w:szCs w:val="20"/>
      </w:rPr>
      <w:t xml:space="preserve">Dashboard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98e147c7320596b14c589b598fdad1f8cf1301a.png"/><Relationship Id="rId9" Type="http://schemas.openxmlformats.org/officeDocument/2006/relationships/image" Target="media/564fa89a82c8806aff5a0ee2dbf165dc458f32e4.png"/><Relationship Id="rId10" Type="http://schemas.openxmlformats.org/officeDocument/2006/relationships/image" Target="media/1d92702495de51694fd87807e995ae8674acffdd.png"/><Relationship Id="rId11" Type="http://schemas.openxmlformats.org/officeDocument/2006/relationships/image" Target="media/531304dc15cb8751190c81060387d3dabb7118e0.png"/><Relationship Id="rId12" Type="http://schemas.openxmlformats.org/officeDocument/2006/relationships/image" Target="media/524718940df5ad50608262232fd7236e94fdd0a3.png"/><Relationship Id="rId13" Type="http://schemas.openxmlformats.org/officeDocument/2006/relationships/image" Target="media/6bed7d9aef460d1d09c4c39fa4672f6b1c2705ec.png"/><Relationship Id="rId14" Type="http://schemas.openxmlformats.org/officeDocument/2006/relationships/image" Target="media/7e4b0c90a7bf42aabbff3927f847bb346cd2bd37.png"/><Relationship Id="rId15" Type="http://schemas.openxmlformats.org/officeDocument/2006/relationships/fontTable" Target="fontTable.xml"/><Relationship Id="rId16" Type="http://schemas.openxmlformats.org/officeDocument/2006/relationships/hyperlink" Target="https://public.tableau.com/views/PharmaceuticalPricingPortfolioAnalysisMarketIntelligence/Dashboard1?:language=en-US&amp;:sid=&amp;:redirect=auth&amp;:display_count=n&amp;:origin=viz_share_link"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2026-03-29T20:20:42.718Z</dcterms:created>
  <dcterms:modified xsi:type="dcterms:W3CDTF">2026-03-29T20:20:42.718Z</dcterms:modified>
</cp:coreProperties>
</file>

<file path=docProps/custom.xml><?xml version="1.0" encoding="utf-8"?>
<Properties xmlns="http://schemas.openxmlformats.org/officeDocument/2006/custom-properties" xmlns:vt="http://schemas.openxmlformats.org/officeDocument/2006/docPropsVTypes"/>
</file>