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0" w:line="384"/>
        <w:ind w:left="0" w:right="0"/>
        <w:jc w:val="center"/>
        <w:rPr>
          <w:color w:val="212121"/>
        </w:rPr>
      </w:pPr>
      <w:r>
        <w:drawing>
          <wp:inline>
            <wp:extent cx="2438400" cy="2438400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spacing w:before="0" w:after="192" w:line="384"/>
        <w:ind w:left="0" w:right="0"/>
        <w:jc w:val="center"/>
        <w:rPr>
          <w:color w:val="1f5fae"/>
        </w:rPr>
      </w:pPr>
      <w:r>
        <w:rPr>
          <w:rFonts w:hint="eastAsia" w:ascii="Microsoft YaHei" w:hAnsi="Microsoft YaHei" w:eastAsia="Microsoft YaHei" w:cs="Microsoft YaHei"/>
          <w:b w:val="1"/>
          <w:color w:val="1f5fae"/>
          <w:spacing w:val="19"/>
          <w:sz w:val="28"/>
        </w:rPr>
        <w:t>AI for Science · 科研助手方向</w:t>
      </w:r>
    </w:p>
    <w:p w14:paraId="00000003">
      <w:pPr>
        <w:spacing w:before="0" w:after="120" w:line="384"/>
        <w:ind w:left="0" w:right="0"/>
        <w:jc w:val="center"/>
        <w:rPr>
          <w:color w:val="1f5fae"/>
        </w:rPr>
      </w:pPr>
      <w:r>
        <w:rPr>
          <w:rFonts w:hint="eastAsia" w:ascii="Microsoft YaHei" w:hAnsi="Microsoft YaHei" w:eastAsia="Microsoft YaHei" w:cs="Microsoft YaHei"/>
          <w:b w:val="1"/>
          <w:color w:val="1f5fae"/>
          <w:sz w:val="44"/>
        </w:rPr>
        <w:t>MoreHand 项目介绍文档</w:t>
      </w:r>
    </w:p>
    <w:p w14:paraId="00000004">
      <w:pPr>
        <w:spacing w:before="0" w:after="384" w:line="384"/>
        <w:ind w:left="0" w:right="0"/>
        <w:jc w:val="center"/>
        <w:rPr>
          <w:color w:val="5b6570"/>
        </w:rPr>
      </w:pPr>
      <w:r>
        <w:rPr>
          <w:rFonts w:hint="eastAsia" w:ascii="SimSun" w:hAnsi="SimSun" w:eastAsia="SimSun" w:cs="SimSun"/>
          <w:color w:val="5b6570"/>
          <w:sz w:val="30"/>
        </w:rPr>
        <w:t>意图驱动 · 抗幻觉 · 全流程科研助手 Agent</w:t>
      </w:r>
    </w:p>
    <w:p w14:paraId="00000005">
      <w:pPr>
        <w:spacing w:before="0" w:after="384" w:line="384"/>
        <w:ind w:left="0" w:right="0"/>
        <w:jc w:val="center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面向全国高校 AI 大模型挑战赛 AI4S 赛道的参赛作品说明</w:t>
      </w:r>
      <w:r>
        <w:br w:type="textWrapping"/>
      </w:r>
      <w:r>
        <w:rPr>
          <w:rFonts w:hint="eastAsia" w:ascii="SimSun" w:hAnsi="SimSun" w:eastAsia="SimSun" w:cs="SimSun"/>
          <w:color w:val="212121"/>
          <w:sz w:val="24"/>
        </w:rPr>
        <w:t>项目详情与使用方式 · 项目亮点 · AI 测试落地 · 关键技术 · 图示 · 发表与获奖 · 优化说明</w:t>
      </w:r>
    </w:p>
    <w:p w14:paraId="00000006">
      <w:pPr>
        <w:spacing w:before="0" w:after="0" w:line="384"/>
        <w:ind w:left="0" w:right="0"/>
        <w:jc w:val="center"/>
        <w:rPr>
          <w:color w:val="5b657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b6570"/>
          <w:sz w:val="20"/>
        </w:rPr>
        <w:t>文档版本 v1.0 · 2026-10-26</w:t>
      </w:r>
      <w:r>
        <w:br w:type="textWrapping"/>
      </w:r>
      <w:r>
        <w:rPr>
          <w:rFonts w:hint="eastAsia" w:ascii="SimSun" w:hAnsi="SimSun" w:eastAsia="SimSun" w:cs="SimSun"/>
          <w:color w:val="5b6570"/>
          <w:sz w:val="20"/>
        </w:rPr>
        <w:t>代码仓库 https://github.com/Through1n/ai_research_agent</w:t>
      </w:r>
      <w:r>
        <w:br w:type="textWrapping"/>
      </w:r>
      <w:r>
        <w:rPr>
          <w:rFonts w:hint="eastAsia" w:ascii="SimSun" w:hAnsi="SimSun" w:eastAsia="SimSun" w:cs="SimSun"/>
          <w:color w:val="5b6570"/>
          <w:sz w:val="20"/>
        </w:rPr>
        <w:t>在线演示 https://ai4s-research-agent.app.workbuddy.host/</w:t>
      </w:r>
    </w:p>
    <w:p w14:paraId="00000007">
      <w:pPr>
        <w:spacing w:before="240" w:after="120"/>
      </w:pPr>
      <w:r>
        <w:rPr>
          <w:rFonts w:hint="eastAsia"/>
          <w:b w:val="1"/>
        </w:rPr>
        <w:t>目录</w:t>
      </w:r>
    </w:p>
    <w:p w14:paraId="00000008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"section-0" </w:instrText>
      </w:r>
      <w:r>
        <w:fldChar w:fldCharType="separate" w:fldLock="0" w:dirty="0"/>
      </w:r>
      <w:r>
        <w:rPr>
          <w:rFonts w:hint="eastAsia"/>
        </w:rPr>
        <w:t>执行摘要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9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一、项目详情及使用方式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A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二、项目亮点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三、AI 测试技术落地使用情况概述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四、项目涉及的关键技术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五、项目相关的图片/照片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六、项目之前是否发表过或获奖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七、若项目是在其他项目基础上优化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附录 A · 配套材料索引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3"/>
        <w:tabs>
          <w:tab w:val="right" w:leader="dot" w:pos="8306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附录 B · 版本与复核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3">
      <w:pPr>
        <w:pStyle w:val="000004"/>
        <w:keepNext w:val="1"/>
        <w:keepLines w:val="1"/>
        <w:pBdr>
          <w:left w:val="single" w:color="1f5fae" w:sz="24"/>
        </w:pBdr>
        <w:shd w:val="clear" w:fill="f2f5f9"/>
        <w:spacing w:before="384" w:beforeAutospacing="1" w:after="72" w:afterAutospacing="1" w:line="384"/>
        <w:ind w:left="1417" w:right="1417"/>
        <w:outlineLvl w:val="0"/>
        <w:rPr>
          <w:color w:val="1f5fae"/>
          <w:sz w:val="32"/>
          <w:szCs w:val="32"/>
        </w:rPr>
      </w:pPr>
      <w:bookmarkStart w:id="1" w:name="section-0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执行摘要</w:t>
      </w:r>
      <w:bookmarkEnd w:id="1"/>
    </w:p>
    <w:p w14:paraId="00000014">
      <w:pPr>
        <w:pBdr>
          <w:left w:val="single" w:color="1f5fae" w:sz="24"/>
        </w:pBdr>
        <w:shd w:val="clear" w:fill="f2f5f9"/>
        <w:spacing w:before="384" w:after="240" w:line="384"/>
        <w:ind w:left="1417" w:right="1417"/>
        <w:rPr>
          <w:color w:val="212121"/>
        </w:rPr>
      </w:pPr>
      <w:r>
        <w:rPr>
          <w:rFonts w:ascii="SimSun" w:hAnsi="SimSun" w:eastAsia="SimSun" w:cs="SimSun"/>
          <w:i w:val="1"/>
          <w:color w:val="5b6570"/>
          <w:sz w:val="20"/>
        </w:rPr>
        <w:t>Executive Summary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000001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单元测试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000001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技术文档代码引用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000001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双栏识别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center"/>
          </w:tcPr>
          <w:p w14:paraId="0000001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OCR 词级准确率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fffff"/>
            <w:tcMar>
              <w:top w:w="144" w:type="dxa"/>
              <w:left w:w="168" w:type="dxa"/>
              <w:bottom w:w="144" w:type="dxa"/>
              <w:right w:w="168" w:type="dxa"/>
            </w:tcMar>
            <w:vAlign w:val="top"/>
          </w:tcPr>
          <w:p w14:paraId="00000019">
            <w:pPr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f5fae"/>
                <w:sz w:val="30"/>
              </w:rPr>
              <w:t>238/238</w:t>
            </w:r>
            <w:r>
              <w:rPr>
                <w:rFonts w:hint="eastAsia" w:ascii="SimSun" w:hAnsi="SimSun" w:eastAsia="SimSun" w:cs="SimSun"/>
                <w:color w:val="5b6570"/>
                <w:sz w:val="20"/>
              </w:rPr>
              <w:t>全部通过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fffff"/>
            <w:tcMar>
              <w:top w:w="144" w:type="dxa"/>
              <w:left w:w="168" w:type="dxa"/>
              <w:bottom w:w="144" w:type="dxa"/>
              <w:right w:w="168" w:type="dxa"/>
            </w:tcMar>
            <w:vAlign w:val="top"/>
          </w:tcPr>
          <w:p w14:paraId="0000001A">
            <w:pPr>
              <w:rPr>
                <w:color w:val="212121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5fae"/>
                <w:sz w:val="30"/>
              </w:rPr>
              <w:t>236 条</w:t>
            </w:r>
            <w:r>
              <w:rPr>
                <w:rFonts w:hint="eastAsia" w:ascii="SimSun" w:hAnsi="SimSun" w:eastAsia="SimSun" w:cs="SimSun"/>
                <w:color w:val="5b6570"/>
                <w:sz w:val="20"/>
              </w:rPr>
              <w:t>0 疑似错误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fffff"/>
            <w:tcMar>
              <w:top w:w="144" w:type="dxa"/>
              <w:left w:w="168" w:type="dxa"/>
              <w:bottom w:w="144" w:type="dxa"/>
              <w:right w:w="168" w:type="dxa"/>
            </w:tcMar>
            <w:vAlign w:val="top"/>
          </w:tcPr>
          <w:p w14:paraId="0000001B">
            <w:pPr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f5fae"/>
                <w:sz w:val="30"/>
              </w:rPr>
              <w:t>10/10</w:t>
            </w:r>
            <w:r>
              <w:rPr>
                <w:rFonts w:hint="eastAsia" w:ascii="SimSun" w:hAnsi="SimSun" w:eastAsia="SimSun" w:cs="SimSun"/>
                <w:color w:val="5b6570"/>
                <w:sz w:val="20"/>
              </w:rPr>
              <w:t>真双栏正文页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fffff"/>
            <w:tcMar>
              <w:top w:w="144" w:type="dxa"/>
              <w:left w:w="168" w:type="dxa"/>
              <w:bottom w:w="144" w:type="dxa"/>
              <w:right w:w="168" w:type="dxa"/>
            </w:tcMar>
            <w:vAlign w:val="top"/>
          </w:tcPr>
          <w:p w14:paraId="0000001C">
            <w:pPr>
              <w:rPr>
                <w:color w:val="212121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f5fae"/>
                <w:sz w:val="30"/>
              </w:rPr>
              <w:t>93.9%</w:t>
            </w:r>
            <w:r>
              <w:rPr>
                <w:rFonts w:hint="eastAsia" w:ascii="SimSun" w:hAnsi="SimSun" w:eastAsia="SimSun" w:cs="SimSun"/>
                <w:color w:val="5b6570"/>
                <w:sz w:val="20"/>
              </w:rPr>
              <w:t>召回 98.5%</w:t>
            </w:r>
          </w:p>
        </w:tc>
      </w:tr>
    </w:tbl>
    <w:p w14:paraId="0000001D">
      <w:pPr>
        <w:pBdr>
          <w:left w:val="single" w:color="1f5fae" w:sz="24"/>
        </w:pBdr>
        <w:shd w:val="clear" w:fill="f2f5f9"/>
        <w:spacing w:before="384" w:after="144" w:line="384"/>
        <w:ind w:left="1417" w:right="1417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MoreHand 把「文献解析 → 抗幻觉问答 → 版式阅读 → 检索追踪 → 引用图谱 → 学术写作」串成闭环。与通用 RAG 的差别有两条：一是先保住版式再谈检索，双栏论文先按栏切分再入库；二是把「答错能不能被抓出来」做成代码判定：拒答闸门、角标约束、逐句引用校验、修复环与 References 白名单四道防线跨生成前中后，全部可在真实大模型下复跑验证。</w:t>
      </w:r>
    </w:p>
    <w:p w14:paraId="0000001E">
      <w:pPr>
        <w:pBdr>
          <w:left w:val="single" w:color="1f5fae" w:sz="24"/>
        </w:pBdr>
        <w:shd w:val="clear" w:fill="f2f5f9"/>
        <w:spacing w:before="384" w:after="144" w:line="384"/>
        <w:ind w:left="1417" w:right="1417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本文所有数字均来自脚本实跑，并附有复跑命令；代码里找不到的功能、没有实测支撑的数字，一律没有写进来。</w:t>
      </w:r>
    </w:p>
    <w:p w14:paraId="0000001F">
      <w:pPr>
        <w:pStyle w:val="000004"/>
        <w:keepNext w:val="1"/>
        <w:keepLines w:val="1"/>
        <w:spacing w:before="384" w:beforeAutospacing="1" w:after="144" w:afterAutospacing="1" w:line="384"/>
        <w:ind w:left="0" w:right="0"/>
        <w:outlineLvl w:val="0"/>
        <w:rPr>
          <w:color w:val="1f5fae"/>
          <w:sz w:val="32"/>
          <w:szCs w:val="32"/>
        </w:rPr>
      </w:pPr>
      <w:bookmarkStart w:id="2" w:name="section-1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一、项目详情及使用方式</w:t>
      </w:r>
      <w:bookmarkEnd w:id="2"/>
    </w:p>
    <w:p w14:paraId="00000020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本节回答三个问题：这是什么、给谁用、怎么用起来，并如实列出当前尚未覆盖的边界。</w:t>
      </w:r>
    </w:p>
    <w:p w14:paraId="00000021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3" w:name="section-1-1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（一）项目是什么</w:t>
      </w:r>
      <w:bookmarkEnd w:id="3"/>
    </w:p>
    <w:p w14:paraId="00000022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MoreHand 是一个把「文献解析 → 抗幻觉问答 → 版式阅读 → 检索追踪 → 引用图谱 → 学术写作」串成闭环的科研助手 Agent。</w:t>
      </w:r>
    </w:p>
    <w:p w14:paraId="00000023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它不是「通用大模型套一层学术皮肤」。真正的差别在两处：</w:t>
      </w:r>
    </w:p>
    <w:p w14:paraId="00000024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第一，它先保住版式，再谈检索。通用 RAG 直接按 PDF 文本流切块，双栏论文的左右栏会被搅在一起，检索到的片段本身就是错的。MoreHand 先做版面感知解析（双栏几何判定、扫描件识别、插图与图注关联、标题树、表格与公式抽取），再切块入库。</w:t>
      </w:r>
    </w:p>
    <w:p w14:paraId="00000025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第二，它把「答错能不能被抓出来」做成代码判定。竞品比「答得好不好」，MoreHand 比「答错了能不能被抓出来」：拒答闸门、角标约束、逐句引用校验、修复环、References 白名单，四道防线跨生成前中后，全部可在真实大模型下复跑验证。</w:t>
      </w:r>
    </w:p>
    <w:p w14:paraId="00000026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4" w:name="section-1-2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（二）面向的用户与要解决的痛点</w:t>
      </w:r>
      <w:bookmarkEnd w:id="4"/>
    </w:p>
    <w:p w14:paraId="00000027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科研工作者每天的真实卡点集中在「检索不可信、版面会串读、流程被切碎、图表会丢失、参考文献不可信」五处，通用工具各有盲区。</w:t>
      </w:r>
    </w:p>
    <w:p w14:paraId="00000028">
      <w:pPr>
        <w:jc w:val="center"/>
      </w:pPr>
      <w:r>
        <w:rPr>
          <w:rFonts w:hint="eastAsia"/>
          <w:color w:val="888888"/>
          <w:sz w:val="18"/>
        </w:rPr>
        <w:t>表 1-1　通用工具的盲区与 MoreHand 的对应做法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痛点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通用工具为什么解决不了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MoreHand 的做法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检索与引用幻觉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通用模型凭记忆答题，页码、年份、整条参考文献都可能被编造；真实标题配错误被引数更隐蔽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每条结论强制带可点击的原文页码锚点；检索不到可靠依据时拒答而不是编造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版面感知缺失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学术 PDF 超半数是双栏，naive 提取按对象流输出，左右栏交叉串读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4 条必要条件同时成立才判双栏；先按栏切分再入库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科研流程割裂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读文献用 PDF 阅读器、管文献用 Zotero、画图用 draw.io、写框架用 Word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一个意图入口统一编排六大模块，每一步都可溯源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图表丢失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PDF 里的图表被当纯文本抽出来，图注与图分离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插图与图注按水平重叠关联，多模态模型解读图表内容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写作参考文献不可信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让模型写参考文献等于让模型编文献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References 由系统从 PDF 真实抽取后确定性拼接，模型没有机会碰</w:t>
            </w:r>
          </w:p>
        </w:tc>
      </w:tr>
    </w:tbl>
    <w:p w14:paraId="0000003B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5" w:name="section-1-3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（三）产品形态：九页交互 + 一个智能体内核</w:t>
      </w:r>
      <w:bookmarkEnd w:id="5"/>
    </w:p>
    <w:p w14:paraId="0000003C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界面共 9 个交互页面（导航定义见 MENU@ui/sidebar.py:15），每个页面对应一个真实科研动作。</w:t>
      </w:r>
    </w:p>
    <w:p w14:paraId="0000003D">
      <w:pPr>
        <w:jc w:val="center"/>
      </w:pPr>
      <w:r>
        <w:rPr>
          <w:rFonts w:hint="eastAsia"/>
          <w:color w:val="888888"/>
          <w:sz w:val="18"/>
        </w:rPr>
        <w:t>表 1-2　九个交互页面及其解决的问题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页面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解决的问题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关键能力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智能总助手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我想做 X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意图识别 → 任务规划 → 专家路由 → 工具调用闭环 → Trace 可视化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文献库管理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文献入库与组织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细粒度解析（标题树/表格/插图/公式/参考文献）、内容级语义去重、版本差异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跨文献问答与溯源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论文里到底怎么说的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混合检索 + 逐句引用校验 + 页码级溯源锚点 + 拒答闸门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版式阅读与智能翻译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照原文读懂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双栏原生渲染不串栏、中英对照同步滚动、划词翻译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论文检索与追踪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找什么、追什么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arXiv/PubMed 多源检索、增量追踪、引用含金量标注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引用图谱与综述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这批文献什么关系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PageRank/社区发现/frontier 五维打分、图谱驱动综述、Future Work 过滤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写作辅助与可视化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写成能交的稿子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无幻觉 References、CSV 自动出图、数值事实注入 Caption、中英互译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模型接入与账号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能不能用我自己的 Key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5 家平台 OpenAI 兼容热切换、连通性测试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关于本系统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这项目到底怎么做的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架构说明、创新点、离线降级矩阵</w:t>
            </w:r>
          </w:p>
        </w:tc>
      </w:tr>
    </w:tbl>
    <w:p w14:paraId="0000005C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底层是自研 Agent 内核（core/）：规划（planner）、多专家路由（router，6 专家白名单）、函数调用闭环（agent，22 个 Function Schema 全部接入白名单、无孤岛，见 build_registry@tools/definitions.py:379）、三层护栏（guardrails）、记忆（memory）、沙箱（sandbox）与全链路 Trace（trace）。</w:t>
      </w:r>
    </w:p>
    <w:p w14:paraId="0000005D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6" w:name="section-1-4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（四）使用方式：四条上手路径</w:t>
      </w:r>
      <w:bookmarkEnd w:id="6"/>
    </w:p>
    <w:p w14:paraId="0000005E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按评委手上有什么条件，选择下面四条路径之一，四条都指向同一套业务代码。</w:t>
      </w:r>
    </w:p>
    <w:p w14:paraId="0000005F">
      <w:pPr>
        <w:jc w:val="center"/>
      </w:pPr>
      <w:r>
        <w:rPr>
          <w:rFonts w:hint="eastAsia"/>
          <w:color w:val="888888"/>
          <w:sz w:val="18"/>
        </w:rPr>
        <w:t>表 1-3　四条上手路径与适用人群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路径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适用人群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步骤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耗时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① 在线直接体验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评审、评委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打开在线演示地址 → 侧栏「一键加载演示数据（6 篇）」→ 进「跨文献问答与溯源」提问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3 分钟，无需注册、无需 Key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② 本地一键起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想看代码的评审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git clone → 双击 start.bat（Windows）或 bash start.sh（macOS、Linux）→ 浏览器自动打开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5 分钟内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③ Docker 部署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部署验证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docker compose up -d → docker compose ps 期望 Up (healthy) → docker compose logs --tail=80 ai4s-agent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6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3 分钟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④ 桌面版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无开发环境的评委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双击 Windows 免安装 exe，pywebview + WebView2 原生窗口，业务代码热更新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1 分钟</w:t>
            </w:r>
          </w:p>
        </w:tc>
      </w:tr>
    </w:tbl>
    <w:p w14:paraId="00000074">
      <w:pPr>
        <w:pBdr>
          <w:left w:val="single" w:color="1f5fae" w:sz="24"/>
        </w:pBdr>
        <w:shd w:val="clear" w:fill="f2f5f9"/>
        <w:spacing w:before="144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最短验证路径（不需要装任何东西，也不需要 API Key）：</w:t>
      </w:r>
      <w:r>
        <w:rPr>
          <w:rFonts w:hint="eastAsia" w:ascii="SimSun" w:hAnsi="SimSun" w:eastAsia="SimSun" w:cs="SimSun"/>
          <w:color w:val="212121"/>
          <w:sz w:val="24"/>
        </w:rPr>
        <w:t>在在线演示或本地应用里点侧栏「一键加载演示数据（6 篇）」，然后进「跨文献问答与溯源」，问「训练用了什么 GPU？数量和型号？」，答案会带可点击的来源角标，点角标即可跳到原文页码与段落。</w:t>
      </w:r>
    </w:p>
    <w:p w14:paraId="00000075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7" w:name="section-1-5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（五）一次完整的使用流程</w:t>
      </w:r>
      <w:bookmarkEnd w:id="7"/>
    </w:p>
    <w:p w14:paraId="00000076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以「读文献 → 问 → 溯源 → 写」为主线，串起六个模块。</w:t>
      </w:r>
    </w:p>
    <w:p w14:paraId="00000077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第一步，传文献：上传 PDF（单篇或批量）。系统自动完成细粒度解析：标题树、表格文本化、插图与图注关联、LaTeX 公式还原、References 抽取；扫描件自动识别并走 OCR。损坏、截断、加密的 PDF 在入库前拦截，不留「幽灵文献」（_validate_prepared@services/library.py:597）。</w:t>
      </w:r>
    </w:p>
    <w:p w14:paraId="00000078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第二步，问：在「跨文献问答与溯源」提问，或让「智能总助手」用自然语言下指令。系统做查询扩展（中文问 → 英文检索词）、Dense + Sparse 混合检索、RRF 融合、来源截断与版本仲裁，最后由拒答闸门判定是否值得调用模型。</w:t>
      </w:r>
    </w:p>
    <w:p w14:paraId="00000079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第三步，溯源：答案里每条事实带【n】角标，点角标出溯源卡，可直接跳到阅读页的原文页码与段落。</w:t>
      </w:r>
    </w:p>
    <w:p w14:paraId="0000007A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第四步，读：进「版式阅读与智能翻译」，双栏论文按原版式渲染、左右栏不串；中英对照可同步滚动，划词即译。</w:t>
      </w:r>
    </w:p>
    <w:p w14:paraId="0000007B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第五步，追与图：「论文检索与追踪」按主题做增量追踪；「引用图谱与综述」基于真实引用边建图，输出社区结构、基石论文与 frontier，并据此生成综述与 Future Work。</w:t>
      </w:r>
    </w:p>
    <w:p w14:paraId="0000007C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第六步，写：「写作辅助与可视化」生成提纲与正文，References 由系统确定性拼接，CSV 导入后自动出图，数值事实直接注入 Caption。</w:t>
      </w:r>
    </w:p>
    <w:p w14:paraId="0000007D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8" w:name="section-1-6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（六）部署与运行方式</w:t>
      </w:r>
      <w:bookmarkEnd w:id="8"/>
    </w:p>
    <w:p w14:paraId="0000007E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六种运行方式共用同一套业务代码，差异只在入口与部署形态。</w:t>
      </w:r>
    </w:p>
    <w:p w14:paraId="0000007F">
      <w:pPr>
        <w:jc w:val="center"/>
      </w:pPr>
      <w:r>
        <w:rPr>
          <w:rFonts w:hint="eastAsia"/>
          <w:color w:val="888888"/>
          <w:sz w:val="18"/>
        </w:rPr>
        <w:t>表 1-4　六种部署与运行方式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方式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命令 / 入口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本地开发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conda activate ai_research → streamlit run app.py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5 家模型平台走同一套 OpenAI 兼容协议，切换不改业务代码（PROVIDERS@core/providers.py:33）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Windows 一键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双击 start.bat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自动定位 conda 环境、装依赖、起服务、开浏览器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macOS / Linux 一键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bash start.sh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同上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Docker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docker compose up -d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健康检查通过后 Up (healthy)；卷属主不对时先 chown -R 10001:10001 ./storage ./logs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桌面版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启动桌面版.vbs（开发态）或打包 exe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业务代码放在 app_bundle/，首次启动复制到 %APPDATA% 后支持热更新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在线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Streamlit Community Cloud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仓库 Public，streamlit_app.py 为入口，密钥走 Secrets</w:t>
            </w:r>
          </w:p>
        </w:tc>
      </w:tr>
    </w:tbl>
    <w:p w14:paraId="00000095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9" w:name="section-1-7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（七）已知边界（先说在前面）</w:t>
      </w:r>
      <w:bookmarkEnd w:id="9"/>
    </w:p>
    <w:p w14:paraId="00000096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诚实声明比被问出来更好。以下是目前没有覆盖或明确受限的地方。</w:t>
      </w:r>
    </w:p>
    <w:p w14:paraId="00000097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未覆盖赛题「20 篇批量文献」规模。本地语料按 arXiv 号合并后只有 2–3 个逻辑节点、1 条真实引用边，图谱指标在小语料下仅供参考，我们没有宣称支持 20 篇。</w:t>
      </w:r>
    </w:p>
    <w:p w14:paraId="00000098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纯中文句的引用一致性校验盲区。锚点只取英文词与数字，锚点少于 2 个时跳过判定（_anchor_tokens@core/guardrails.py:51）。</w:t>
      </w:r>
    </w:p>
    <w:p w14:paraId="00000099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并发写库无文件锁。容器每会话一份，但写库是整体覆盖，短期待遇并发上传有丢块风险。</w:t>
      </w:r>
    </w:p>
    <w:p w14:paraId="0000009A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扫描件依赖带视觉能力的平台。内置 5 家里深度求索与本地离线模型没有视觉能力，换到这两家时扫描件是直接拒收入库（scanned_no_ocr），不是「降级但还能用」。</w:t>
      </w:r>
    </w:p>
    <w:p w14:paraId="0000009B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中文向量偏弱。同一篇论文改名的整篇相似度 0.891292 够不上 0.90 阈值，靠分段指纹兜底（drop_stale_versions@services/rag.py:91 的版本仲裁同理）。</w:t>
      </w:r>
    </w:p>
    <w:p w14:paraId="0000009C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沙箱为软隔离，非操作系统级强隔离。</w:t>
      </w:r>
    </w:p>
    <w:p w14:paraId="0000009D">
      <w:pPr>
        <w:pStyle w:val="000004"/>
        <w:keepNext w:val="1"/>
        <w:keepLines w:val="1"/>
        <w:spacing w:before="384" w:beforeAutospacing="1" w:after="144" w:afterAutospacing="1" w:line="384"/>
        <w:ind w:left="0" w:right="0"/>
        <w:outlineLvl w:val="0"/>
        <w:rPr>
          <w:color w:val="1f5fae"/>
          <w:sz w:val="32"/>
          <w:szCs w:val="32"/>
        </w:rPr>
      </w:pPr>
      <w:bookmarkStart w:id="10" w:name="section-2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二、项目亮点</w:t>
      </w:r>
      <w:bookmarkEnd w:id="10"/>
    </w:p>
    <w:p w14:paraId="0000009E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下列六项是本项目与其他同类工具拉开差距的地方，每项均给出可复跑的实测数据。</w:t>
      </w:r>
    </w:p>
    <w:p w14:paraId="0000009F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11" w:name="section-2-1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（一）抗幻觉四道防线：把「答错能不能被抓出来」做成代码判定</w:t>
      </w:r>
      <w:bookmarkEnd w:id="11"/>
    </w:p>
    <w:p w14:paraId="000000A0">
      <w:pPr>
        <w:jc w:val="center"/>
      </w:pPr>
      <w:r>
        <w:rPr>
          <w:rFonts w:hint="eastAsia"/>
          <w:color w:val="888888"/>
          <w:sz w:val="18"/>
        </w:rPr>
        <w:t>表 2-1　四道防线的机制与实测结果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防线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机制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实测结果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生成前 · 拒答闸门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最高相关度低于阈值 0.35 直接拒答，一次模型调用都不发（RELEVANCE_FLOOR@services/rag.py:46）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无关问题最高相关度 0.1820，0 次 LLM 调用；真实拒答文案：「根据提供的文献资料，无法确定……」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生成时 · 角标约束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系统提示强制每条事实带来源角标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细粒度三问全命中真值：Adam β1/β2 = 0.9/0.98、8×P100、BLEU 28.4/41.8，溯源 6/6 带页码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生成后 · 逐句校验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逐句算锚点覆盖率，低于阈值判可疑并触发重生成（check_citation_support@core/guardrails.py:96）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真实句覆盖率 84.5% 通过；编造句覆盖率 10% 被标记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收尾 · 确定性拼接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参考文献由系统从 PDF References 段真实抽取后拼出，模型没有机会碰（build_references_section@services/writing.py:195）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40 条参考文献逐字一致 40/40、占位串 0 处、14364 字、44.6s</w:t>
            </w:r>
          </w:p>
        </w:tc>
      </w:tr>
    </w:tbl>
    <w:p w14:paraId="000000B0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为什么这是关键差异：多数系统只能展示「答得好」；MoreHand 能展示「答错会被当场抓住」。前者是宣传语，后者是可复跑的代码判定，评审可以用一条命令验证。</w:t>
      </w:r>
    </w:p>
    <w:p w14:paraId="000000B1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12" w:name="section-2-2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（二）先保住版式，再谈检索</w:t>
      </w:r>
      <w:bookmarkEnd w:id="12"/>
    </w:p>
    <w:p w14:paraId="000000B2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双栏几何判定要求 4 条必要条件同时成立（横跨否决、空白带采样、栏宽平衡、两侧块数），任一不满足就保守回退单栏（_detect_two_columns@services/parsing.py:196）。实测：单栏语料 1111 页误判率 19.1% → 0%，真双栏 BERT 正文页 10/10 正确识别。</w:t>
      </w:r>
    </w:p>
    <w:p w14:paraId="000000B3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长文档分批工程化：541 页官方教材（22MB）→ 537 页提取 / 1305 个文本块 / 25.32s / 峰值内存 893.1MB / 0 失败页，进度回调 11 次。</w:t>
      </w:r>
    </w:p>
    <w:p w14:paraId="000000B4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扫描件走视觉模型：前 3 页原生文本 0 字符即判定 detect_scanned=True，单页 OCR 2833 字符 / 9.3s，词级准确率 93.9% / 召回 98.5%。</w:t>
      </w:r>
    </w:p>
    <w:p w14:paraId="000000B5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内容级语义去重不依赖文件名：同篇论文 v1↔v7 相似度 0.963228（阈值 0.90），完全改名后仍命中 1.000000。</w:t>
      </w:r>
    </w:p>
    <w:p w14:paraId="000000B6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13" w:name="section-2-3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（三）意图驱动的 Agent 内核，不是聊天框</w:t>
      </w:r>
      <w:bookmarkEnd w:id="13"/>
    </w:p>
    <w:p w14:paraId="000000B7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22 个 Function Schema 全部接入 6 专家路由白名单，无孤岛工具（build_registry@tools/definitions.py:379）。</w:t>
      </w:r>
    </w:p>
    <w:p w14:paraId="000000B8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一次自然语言指令 → 规划 → 路由 → 多轮工具调用 → 结果，每一步都写进 Trace，可逐跳复盘。</w:t>
      </w:r>
    </w:p>
    <w:p w14:paraId="000000B9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沙箱内执行（AST 白名单 + 资源限额），提示注入检测与密钥脱敏在同一条链路上（check_injection@core/guardrails.py:121、redact_secrets@core/guardrails.py:130）。</w:t>
      </w:r>
    </w:p>
    <w:p w14:paraId="000000BA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14" w:name="section-2-4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（四）引用图谱挖掘与图谱驱动的综述</w:t>
      </w:r>
      <w:bookmarkEnd w:id="14"/>
    </w:p>
    <w:p w14:paraId="000000BB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用真实引用边建图（networkx 真实计算，不是模型编）：PageRank、介数中心性、特征向量中心性（services/graph.py:276）、社区发现、frontier 五维打分，并在此之上做图谱驱动综述与 Future Work 可达性过滤。实测：综述 1928 字且包含真实年份 2017/2018（没有退化成套话）；Future Work 抽取 2 条、状态 ['存疑','已解决'] 有效状态 2/2；跨文献对比 918 字双向实体均命中。</w:t>
      </w:r>
    </w:p>
    <w:p w14:paraId="000000BC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15" w:name="section-2-5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（五）真实外部数据源与统一降级矩阵</w:t>
      </w:r>
      <w:bookmarkEnd w:id="15"/>
    </w:p>
    <w:p w14:paraId="000000BD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被引数、DOI、期刊信息取自 OpenAlex / Semantic Scholar / Crossref / GitHub 等真实源，5 篇知名论文的被引数与 OpenAlex 真值一致（如 AlexNet 108512）；取不到时明说 title_attribution_unconfirmed=True，不猜测、不给好看的错值。</w:t>
      </w:r>
    </w:p>
    <w:p w14:paraId="000000BE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降级矩阵覆盖 LLM 不可用、外网中断、视觉能力缺失三类故障，失败时显式标注「以下内容不是模型生成」，不静默失败；无 Key 时可跑通 PDF 原生解析、混合检索、语义去重、引用图谱、追踪增量比对照常运行。</w:t>
      </w:r>
    </w:p>
    <w:p w14:paraId="000000BF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16" w:name="section-2-6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（六）可复现、可审计：每个数字都有复跑命令</w:t>
      </w:r>
      <w:bookmarkEnd w:id="16"/>
    </w:p>
    <w:p w14:paraId="000000C0">
      <w:pPr>
        <w:jc w:val="center"/>
      </w:pPr>
      <w:r>
        <w:rPr>
          <w:rFonts w:hint="eastAsia"/>
          <w:color w:val="888888"/>
          <w:sz w:val="18"/>
        </w:rPr>
        <w:t>表 2-2　关键事实、实测值与复跑命令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事实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实测值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复跑命令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单元测试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238/238 通过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 -m unittest discover -s tests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UI 冒烟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9 个页面 + 9 项故障注入，0 未捕获异常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 scripts/_smoke_ui.py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阅读页专项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62/62 通过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 scripts/_smoke_read.py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真实 API 链路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21/21 通过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 scripts/_verify_live_api.py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技术文档代码引用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236 条引用，0 疑似错误、0 无法判定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 scripts/_check_doc_refs.py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官方用例端到端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双栏判定、541 页入库、扫描件 OCR、被引数校验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 scripts/verify_official.py</w:t>
            </w:r>
          </w:p>
        </w:tc>
      </w:tr>
    </w:tbl>
    <w:p w14:paraId="000000D6">
      <w:pPr>
        <w:pBdr>
          <w:left w:val="single" w:color="1f5fae" w:sz="24"/>
        </w:pBdr>
        <w:shd w:val="clear" w:fill="f2f5f9"/>
        <w:spacing w:before="144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注意：</w:t>
      </w:r>
      <w:r>
        <w:rPr>
          <w:rFonts w:hint="eastAsia" w:ascii="SimSun" w:hAnsi="SimSun" w:eastAsia="SimSun" w:cs="SimSun"/>
          <w:color w:val="212121"/>
          <w:sz w:val="24"/>
        </w:rPr>
        <w:t>verify_official.py / bench_graph.py / selftest.py 都会清空文献库，库非空时直接拒绝运行，备份后加 --force 才执行。</w:t>
      </w:r>
    </w:p>
    <w:p w14:paraId="000000D7">
      <w:pPr>
        <w:pStyle w:val="000004"/>
        <w:keepNext w:val="1"/>
        <w:keepLines w:val="1"/>
        <w:spacing w:before="384" w:beforeAutospacing="1" w:after="144" w:afterAutospacing="1" w:line="384"/>
        <w:ind w:left="0" w:right="0"/>
        <w:outlineLvl w:val="0"/>
        <w:rPr>
          <w:color w:val="1f5fae"/>
          <w:sz w:val="32"/>
          <w:szCs w:val="32"/>
        </w:rPr>
      </w:pPr>
      <w:bookmarkStart w:id="17" w:name="section-3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三、AI 测试技术落地使用情况概述</w:t>
      </w:r>
      <w:bookmarkEnd w:id="17"/>
    </w:p>
    <w:p w14:paraId="000000D8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测试分三层：单元测试层保证函数级正确，界面与交互层保证「看起来正常」也真的正确，真实大模型端到端层保证整条链路在真实模型下成立。</w:t>
      </w:r>
    </w:p>
    <w:p w14:paraId="000000D9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18" w:name="section-3-1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（一）三层测试体系</w:t>
      </w:r>
      <w:bookmarkEnd w:id="18"/>
    </w:p>
    <w:p w14:paraId="000000DA">
      <w:pPr>
        <w:jc w:val="center"/>
      </w:pPr>
      <w:r>
        <w:rPr>
          <w:rFonts w:hint="eastAsia"/>
          <w:color w:val="888888"/>
          <w:sz w:val="18"/>
        </w:rPr>
        <w:t>表 3-1　三层测试体系与实测结果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层级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规模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结果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复跑命令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单元测试层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238 个用例，覆盖 core/services/tools/ui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238/238 通过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 -m unittest discover -s tests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界面与交互层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9 个页面渲染 + 9 项故障注入 + 11 个交互用例（52 条断言）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0 未捕获异常，全部通过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python scripts/_smoke_ui.py、python scripts/_apptest_ui_interact.py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真实大模型端到端层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21 项链路级验收，需真实 Key 与外网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21/21 通过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python scripts/_verify_live_api.py</w:t>
            </w:r>
          </w:p>
        </w:tc>
      </w:tr>
    </w:tbl>
    <w:p w14:paraId="000000EB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关键取舍：只做「渲染没报错」的冒烟是不够的，界面看起来正常不等于交互正确。因此交互层用 AppTest 模拟真实点击（跳转落点、清除语义、空状态、指标条、解析后台化），并对每条断言做反向对照（故意注入缺陷，验证门禁能翻红）。</w:t>
      </w:r>
    </w:p>
    <w:p w14:paraId="000000EC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19" w:name="section-3-2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（二）真实大模型下的细粒度问答实测</w:t>
      </w:r>
      <w:bookmarkEnd w:id="19"/>
    </w:p>
    <w:p w14:paraId="000000ED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在真实 LLM 下对论文原文提问，答案与真值逐项核对。</w:t>
      </w:r>
    </w:p>
    <w:p w14:paraId="000000EE">
      <w:pPr>
        <w:jc w:val="center"/>
      </w:pPr>
      <w:r>
        <w:rPr>
          <w:rFonts w:hint="eastAsia"/>
          <w:color w:val="888888"/>
          <w:sz w:val="18"/>
        </w:rPr>
        <w:t>表 3-2　真实 LLM 下对论文原文提问的逐项核对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提问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期望真值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实测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Adam 的 β1、β2 是多少？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0.9 / 0.98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命中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用了什么 GPU？数量与型号？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8 × P100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命中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BLEU 分数分别是多少？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28.4 / 41.8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命中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溯源是否带页码？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6/6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6/6 带页码</w:t>
            </w:r>
          </w:p>
        </w:tc>
      </w:tr>
    </w:tbl>
    <w:p w14:paraId="000000FE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20" w:name="section-3-3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（三）抗幻觉能力的实测证据</w:t>
      </w:r>
      <w:bookmarkEnd w:id="20"/>
    </w:p>
    <w:p w14:paraId="000000FF">
      <w:pPr>
        <w:jc w:val="center"/>
      </w:pPr>
      <w:r>
        <w:rPr>
          <w:rFonts w:hint="eastAsia"/>
          <w:color w:val="888888"/>
          <w:sz w:val="18"/>
        </w:rPr>
        <w:t>表 3-3　五项抗幻觉能力的实测方法与结果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测试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方法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结果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拒答闸门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问库内毫无依据的问题（作者是否在 2031 年获诺贝尔物理学奖）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系统回答「根据提供的文献资料，无法确定……」，0 次 LLM 调用（闸门在生成前就拦下）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逐句引用校验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真实句 vs 编造句分别过覆盖率判定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真实句 84.5% 通过；编造句 10% 被标记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References 白名单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与 PDF References 段逐字比对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40/40 逐字一致，占位串 0 处、14364 字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越界角标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故意让模型引用不存在于白名单的文献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角标越界项被剔除，不进入 References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图谱综述真实性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检查综述是否含真实年份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1928 字综述含 2017/2018，未退化为套话</w:t>
            </w:r>
          </w:p>
        </w:tc>
      </w:tr>
    </w:tbl>
    <w:p w14:paraId="00000112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21" w:name="section-3-4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（四）版式感知与多模态的实测证据</w:t>
      </w:r>
      <w:bookmarkEnd w:id="21"/>
    </w:p>
    <w:p w14:paraId="00000113">
      <w:pPr>
        <w:jc w:val="center"/>
      </w:pPr>
      <w:r>
        <w:rPr>
          <w:rFonts w:hint="eastAsia"/>
          <w:color w:val="888888"/>
          <w:sz w:val="18"/>
        </w:rPr>
        <w:t>表 3-4　版式感知与多模态能力的实测结果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能力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实测</w:t>
            </w:r>
          </w:p>
        </w:tc>
      </w:tr>
      <w:tr>
        <w:trPr/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双栏判定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单栏语料 1111 页误判 0%；真双栏 BERT 正文页 10/10</w:t>
            </w:r>
          </w:p>
        </w:tc>
      </w:tr>
      <w:tr>
        <w:trPr/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长文档工程化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541 页 → 537 页提取 / 1305 块 / 25.32s / 893.1MB / 0 失败页</w:t>
            </w:r>
          </w:p>
        </w:tc>
      </w:tr>
      <w:tr>
        <w:trPr/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扫描件 OCR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词级准确率 93.9%、召回 98.5%（单页 2833 字符 / 9.3s）</w:t>
            </w:r>
          </w:p>
        </w:tc>
      </w:tr>
      <w:tr>
        <w:trPr/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引用锚点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引用与参考文献双向跳转 36/36 锚点可用、死链 0</w:t>
            </w:r>
          </w:p>
        </w:tc>
      </w:tr>
      <w:tr>
        <w:trPr/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语义去重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同篇改名后仍命中，相似度 1.000000</w:t>
            </w:r>
          </w:p>
        </w:tc>
      </w:tr>
    </w:tbl>
    <w:p w14:paraId="00000120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22" w:name="section-3-5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（五）外部数据源与降级链路实测</w:t>
      </w:r>
      <w:bookmarkEnd w:id="22"/>
    </w:p>
    <w:p w14:paraId="00000121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真实被引数：5 篇论文与 OpenAlex 真值一致（AlexNet 108512 等）。</w:t>
      </w:r>
    </w:p>
    <w:p w14:paraId="00000122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限流降级：OpenAlex / Semantic Scholar 处于 IP 级 429 时，链路验证的是诚实降级（「取不到就明说」）而非真值获取，这一点我们不粉饰。</w:t>
      </w:r>
    </w:p>
    <w:p w14:paraId="00000123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无 Key 离线：PDF 原生解析、混合检索、语义去重、引用图谱、追踪增量比对照常运行，生成类内容显式标注「以下内容不是模型生成」。</w:t>
      </w:r>
    </w:p>
    <w:p w14:paraId="00000124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断网演练：走统一降级矩阵，界面明示当前处于降级态，不静默失败。</w:t>
      </w:r>
    </w:p>
    <w:p w14:paraId="00000125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23" w:name="section-3-6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（六）赛题五大能力自评对照</w:t>
      </w:r>
      <w:bookmarkEnd w:id="23"/>
    </w:p>
    <w:p w14:paraId="00000126">
      <w:pPr>
        <w:jc w:val="center"/>
      </w:pPr>
      <w:r>
        <w:rPr>
          <w:rFonts w:hint="eastAsia"/>
          <w:color w:val="888888"/>
          <w:sz w:val="18"/>
        </w:rPr>
        <w:t>表 3-5　赛题五大能力类别的落地形态与可核验证据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赛题能力大类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本项目的落地形态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可核验的证据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① 多模态与细粒度文档感知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双栏按栏切分、扫描件多模态 OCR、插图与图注关联、图表内容解读、标题树、表格抽取、541 页长文档分批、损坏 PDF 拦截、内容级语义去重、版本差异、双栏原生渲染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1111 页 0% 误判、10/10 双栏、93.9%/98.5% OCR、0.963228/1.000000 去重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② 抗幻觉 RAG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混合检索（Dense+Sparse+RRF+可选 LLM 重排）、拒答闸门、逐句引用一致性校验、修复环、References 白名单、可点击出处锚点、段落级坐标、多篇跨文献对比、注入检测与密钥脱敏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0 次 LLM 拒答、84.5% vs 10%、40/40 逐字一致、6/6 带页码、36/36 锚点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③ 自主工具调用（Function Calling）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22 个工具 Schema、6 专家路由白名单、ReAct 多轮闭环、AST 沙箱、arXiv 定时增量追踪、Trace 可视化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22 工具全部接入白名单、无孤岛；1 分钟内增量追踪实测通过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④ 图谱挖掘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真实引用建图、PageRank/介数/特征向量、社区发现、frontier 五维打分、图谱驱动综述、Future Work 可达性过滤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综述 1928 字含真实年份、Future Work 2 条、对比 918 字双向命中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⑤ 学术 Copilot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无幻觉 References 生成、TikZ/Graphviz 拓扑图、CSV 自动出图 + 数值事实注入 Caption、中英对照同步阅读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40/40 白名单一致、占位符 0 处、44.6s</w:t>
            </w:r>
          </w:p>
        </w:tc>
      </w:tr>
    </w:tbl>
    <w:p w14:paraId="00000139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24" w:name="section-3-7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（七）复跑命令清单（评审可直接执行）</w:t>
      </w:r>
      <w:bookmarkEnd w:id="24"/>
    </w:p>
    <w:p w14:paraId="0000013A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下列命令在仓库根目录执行，全部为纯标准库加项目内脚本，不需要额外环境。</w:t>
      </w:r>
    </w:p>
    <w:p w14:paraId="0000013B">
      <w:pPr>
        <w:pBdr>
          <w:top w:val="single" w:color="d6dbe1" w:sz="6"/>
          <w:left w:val="single" w:color="d6dbe1" w:sz="6"/>
          <w:bottom w:val="single" w:color="d6dbe1" w:sz="6"/>
          <w:right w:val="single" w:color="d6dbe1" w:sz="6"/>
        </w:pBdr>
        <w:shd w:val="clear" w:fill="f2f5f9"/>
        <w:spacing w:before="0" w:after="240" w:line="384"/>
        <w:ind w:left="0" w:right="0"/>
        <w:jc w:val="left"/>
        <w:rPr>
          <w:color w:val="212121"/>
        </w:rPr>
      </w:pPr>
      <w:r>
        <w:rPr>
          <w:rFonts w:ascii="Consolas" w:hAnsi="Consolas" w:eastAsia="Consolas" w:cs="Consolas"/>
          <w:color w:val="212121"/>
          <w:sz w:val="20"/>
        </w:rPr>
        <w:t>PY=C:/Users/Administrator/anaconda3/envs/ai_research/python.exe</w:t>
      </w:r>
    </w:p>
    <w:p w14:paraId="0000013C">
      <w:pPr>
        <w:pBdr>
          <w:top w:val="single" w:color="d6dbe1" w:sz="6"/>
          <w:left w:val="single" w:color="d6dbe1" w:sz="6"/>
          <w:bottom w:val="single" w:color="d6dbe1" w:sz="6"/>
          <w:right w:val="single" w:color="d6dbe1" w:sz="6"/>
        </w:pBdr>
        <w:shd w:val="clear" w:fill="f2f5f9"/>
        <w:spacing w:before="0" w:after="240" w:line="384"/>
        <w:ind w:left="0" w:right="0"/>
        <w:jc w:val="left"/>
        <w:rPr>
          <w:color w:val="212121"/>
        </w:rPr>
      </w:pPr>
      <w:r>
        <w:rPr>
          <w:rFonts w:hint="eastAsia" w:ascii="Consolas" w:hAnsi="Consolas" w:eastAsia="Consolas" w:cs="Consolas"/>
          <w:color w:val="212121"/>
          <w:sz w:val="20"/>
        </w:rPr>
        <w:t>$PY -m unittest discover -s tests # 期望 238 OK</w:t>
      </w:r>
    </w:p>
    <w:p w14:paraId="0000013D">
      <w:pPr>
        <w:pBdr>
          <w:top w:val="single" w:color="d6dbe1" w:sz="6"/>
          <w:left w:val="single" w:color="d6dbe1" w:sz="6"/>
          <w:bottom w:val="single" w:color="d6dbe1" w:sz="6"/>
          <w:right w:val="single" w:color="d6dbe1" w:sz="6"/>
        </w:pBdr>
        <w:shd w:val="clear" w:fill="f2f5f9"/>
        <w:spacing w:before="0" w:after="240" w:line="384"/>
        <w:ind w:left="0" w:right="0"/>
        <w:jc w:val="left"/>
        <w:rPr>
          <w:color w:val="212121"/>
        </w:rPr>
      </w:pPr>
      <w:r>
        <w:rPr>
          <w:rFonts w:hint="eastAsia" w:ascii="Consolas" w:hAnsi="Consolas" w:eastAsia="Consolas" w:cs="Consolas"/>
          <w:color w:val="212121"/>
          <w:sz w:val="20"/>
        </w:rPr>
        <w:t>$PY scripts/_smoke_ui.py # 期望 9 页 0 异常 + 9 故障注入</w:t>
      </w:r>
    </w:p>
    <w:p w14:paraId="0000013E">
      <w:pPr>
        <w:pBdr>
          <w:top w:val="single" w:color="d6dbe1" w:sz="6"/>
          <w:left w:val="single" w:color="d6dbe1" w:sz="6"/>
          <w:bottom w:val="single" w:color="d6dbe1" w:sz="6"/>
          <w:right w:val="single" w:color="d6dbe1" w:sz="6"/>
        </w:pBdr>
        <w:shd w:val="clear" w:fill="f2f5f9"/>
        <w:spacing w:before="0" w:after="240" w:line="384"/>
        <w:ind w:left="0" w:right="0"/>
        <w:jc w:val="left"/>
        <w:rPr>
          <w:color w:val="212121"/>
        </w:rPr>
      </w:pPr>
      <w:r>
        <w:rPr>
          <w:rFonts w:hint="eastAsia" w:ascii="Consolas" w:hAnsi="Consolas" w:eastAsia="Consolas" w:cs="Consolas"/>
          <w:color w:val="212121"/>
          <w:sz w:val="20"/>
        </w:rPr>
        <w:t>$PY scripts/_smoke_read.py # 期望 62/62</w:t>
      </w:r>
    </w:p>
    <w:p w14:paraId="0000013F">
      <w:pPr>
        <w:pBdr>
          <w:top w:val="single" w:color="d6dbe1" w:sz="6"/>
          <w:left w:val="single" w:color="d6dbe1" w:sz="6"/>
          <w:bottom w:val="single" w:color="d6dbe1" w:sz="6"/>
          <w:right w:val="single" w:color="d6dbe1" w:sz="6"/>
        </w:pBdr>
        <w:shd w:val="clear" w:fill="f2f5f9"/>
        <w:spacing w:before="0" w:after="240" w:line="384"/>
        <w:ind w:left="0" w:right="0"/>
        <w:jc w:val="left"/>
        <w:rPr>
          <w:color w:val="212121"/>
        </w:rPr>
      </w:pPr>
      <w:r>
        <w:rPr>
          <w:rFonts w:hint="eastAsia" w:ascii="Consolas" w:hAnsi="Consolas" w:eastAsia="Consolas" w:cs="Consolas"/>
          <w:color w:val="212121"/>
          <w:sz w:val="20"/>
        </w:rPr>
        <w:t>$PY scripts/_apptest_ui_interact.py # 期望 11 用例 52 断言</w:t>
      </w:r>
    </w:p>
    <w:p w14:paraId="00000140">
      <w:pPr>
        <w:pBdr>
          <w:top w:val="single" w:color="d6dbe1" w:sz="6"/>
          <w:left w:val="single" w:color="d6dbe1" w:sz="6"/>
          <w:bottom w:val="single" w:color="d6dbe1" w:sz="6"/>
          <w:right w:val="single" w:color="d6dbe1" w:sz="6"/>
        </w:pBdr>
        <w:shd w:val="clear" w:fill="f2f5f9"/>
        <w:spacing w:before="0" w:after="240" w:line="384"/>
        <w:ind w:left="0" w:right="0"/>
        <w:jc w:val="left"/>
        <w:rPr>
          <w:color w:val="212121"/>
        </w:rPr>
      </w:pPr>
      <w:r>
        <w:rPr>
          <w:rFonts w:hint="eastAsia" w:ascii="Consolas" w:hAnsi="Consolas" w:eastAsia="Consolas" w:cs="Consolas"/>
          <w:color w:val="212121"/>
          <w:sz w:val="20"/>
        </w:rPr>
        <w:t>$PY scripts/_verify_live_api.py # 期望 21/21（需真实 Key 与外网）</w:t>
      </w:r>
    </w:p>
    <w:p w14:paraId="00000141">
      <w:pPr>
        <w:pBdr>
          <w:top w:val="single" w:color="d6dbe1" w:sz="6"/>
          <w:left w:val="single" w:color="d6dbe1" w:sz="6"/>
          <w:bottom w:val="single" w:color="d6dbe1" w:sz="6"/>
          <w:right w:val="single" w:color="d6dbe1" w:sz="6"/>
        </w:pBdr>
        <w:shd w:val="clear" w:fill="f2f5f9"/>
        <w:spacing w:before="0" w:after="240" w:line="384"/>
        <w:ind w:left="0" w:right="0"/>
        <w:jc w:val="left"/>
        <w:rPr>
          <w:color w:val="212121"/>
        </w:rPr>
      </w:pPr>
      <w:r>
        <w:rPr>
          <w:rFonts w:hint="eastAsia" w:ascii="Consolas" w:hAnsi="Consolas" w:eastAsia="Consolas" w:cs="Consolas"/>
          <w:color w:val="212121"/>
          <w:sz w:val="20"/>
        </w:rPr>
        <w:t>$PY scripts/_check_doc_refs.py # 期望 236 条 0 疑似 0 无法判定</w:t>
      </w:r>
    </w:p>
    <w:p w14:paraId="00000142">
      <w:pPr>
        <w:pStyle w:val="000004"/>
        <w:keepNext w:val="1"/>
        <w:keepLines w:val="1"/>
        <w:spacing w:before="384" w:beforeAutospacing="1" w:after="144" w:afterAutospacing="1" w:line="384"/>
        <w:ind w:left="0" w:right="0"/>
        <w:outlineLvl w:val="0"/>
        <w:rPr>
          <w:color w:val="1f5fae"/>
          <w:sz w:val="32"/>
          <w:szCs w:val="32"/>
        </w:rPr>
      </w:pPr>
      <w:bookmarkStart w:id="25" w:name="section-4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四、项目涉及的关键技术</w:t>
      </w:r>
      <w:bookmarkEnd w:id="25"/>
    </w:p>
    <w:p w14:paraId="00000143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下表先给出技术全景，随后逐条展开检索增强、防幻觉、智能体内核、图谱与 Copilot 五条主链路的工程实现。</w:t>
      </w:r>
    </w:p>
    <w:p w14:paraId="00000144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26" w:name="section-4-1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（一）技术全景</w:t>
      </w:r>
      <w:bookmarkEnd w:id="26"/>
    </w:p>
    <w:p w14:paraId="00000145">
      <w:pPr>
        <w:jc w:val="center"/>
      </w:pPr>
      <w:r>
        <w:rPr>
          <w:rFonts w:hint="eastAsia"/>
          <w:color w:val="888888"/>
          <w:sz w:val="18"/>
        </w:rPr>
        <w:t>表 4-1　八个技术领域的采用方案、选型理由与代码落点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技术领域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采用方案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选型理由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代码落点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文档解析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PyMuPDF + 版式几何判定 + 扫描件视觉 OCR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几何判定不依赖模型猜版面，成本低、可解释；OCR 只在无文本层时启用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services/parsing.py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向量检索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ChromaDB + ONNX MiniLM-L6-v2（384 维）+ BM25Plus + RRF 融合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稠密管语义、稀疏管术语，RRF 融合避免单一召回面偏科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services/rag.py、services/state.py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生成与防幻觉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Prompt 约束 + 拒答闸门 + 逐句引用校验 + 修复环 + 确定性 References 拼接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把「不 hallucinate」变成可测的工程判定，而不是提示词里的祈使句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core/guardrails.py、services/rag.py、services/writing.py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智能体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Function Calling（22 Schema）+ 6 专家路由 + 规划/记忆/沙箱/Trace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工具白名单杜绝幻觉调用；Trace 让每一步可复盘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core/agent.py、core/router.py、tools/definitions.py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图谱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networkx（PageRank/介数/特征向量）+ 社区发现 + frontier 五维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真实计算而非模型编造，指标可核对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services/graph.py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前端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Streamlit 1.63 + 自研设计令牌层（唯一强调色 #1f5fae）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单一令牌源保证视觉一致；文档面保留衬线与荧光笔语义色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ui/design.py、ui/ 各页面模块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桌面端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pywebview + WebView2 + 业务代码热更新（.build_id 比对）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免安装、免 Python 环境；重打包后自动换新业务代码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desktop/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工程化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Docker 一键部署、5 家平台 OpenAI 兼容抽象、后台任务线程池、逐跳 Trace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降级可预期、故障可定位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core/providers.py、services/tasks.py、core/trace.py</w:t>
            </w:r>
          </w:p>
        </w:tc>
      </w:tr>
    </w:tbl>
    <w:p w14:paraId="0000016A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27" w:name="section-4-2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（二）检索增强：混合检索与 RRF 融合</w:t>
      </w:r>
      <w:bookmarkEnd w:id="27"/>
    </w:p>
    <w:p w14:paraId="0000016B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一次提问的完整链路如下。</w:t>
      </w:r>
    </w:p>
    <w:p w14:paraId="0000016C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第一，查询扩展：中文提问转英文检索词、同义词与缩写变体（LLM 不可用时回退内置词表）。</w:t>
      </w:r>
    </w:p>
    <w:p w14:paraId="0000016D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第二，双路召回：Dense（DENSE_K=12，变体上限 5）与 Sparse（BM25Plus，SPARSE_K=12，中文 bigram）；强命中（相似度不低于 0.55）时跳过扩展。</w:t>
      </w:r>
    </w:p>
    <w:p w14:paraId="0000016E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第三，融合与收敛：RRF 融合（rrf_fuse@services/rag.py:258，融合池 24 条）→ 来源截断（cap_by_source@services/rag.py:267，防大书淹没检索）→ 版本仲裁去重（drop_stale_versions@services/rag.py:91）→ 收敛到 FINAL_K=6。</w:t>
      </w:r>
    </w:p>
    <w:p w14:paraId="0000016F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第四，可选 LLM 重排：失败时静默回退到融合序，不阻断。</w:t>
      </w:r>
    </w:p>
    <w:p w14:paraId="00000170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第五，段落级标注：为每个片段补上「[n] 来源：《X》第 N 页第 M 段」坐标（annotate_paragraphs → build_context@services/rag.py:709）。</w:t>
      </w:r>
    </w:p>
    <w:p w14:paraId="00000171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28" w:name="section-4-3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（三）防幻觉：四道防线的工程实现</w:t>
      </w:r>
      <w:bookmarkEnd w:id="28"/>
    </w:p>
    <w:p w14:paraId="00000172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拒答闸门：闸门设在生成之前，相关度不达标直接返回拒答文案，既不浪费模型调用，也不给模型「编一个」的机会。</w:t>
      </w:r>
    </w:p>
    <w:p w14:paraId="00000173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逐句引用校验：把答案拆句，逐句算与来源片段的锚点覆盖率（_anchor_tokens@core/guardrails.py:51 只取英文词与数字，避免中文句误判），不达阈值触发一次重生成（MAX_REPAIR=1 防死循环）。</w:t>
      </w:r>
    </w:p>
    <w:p w14:paraId="00000174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References 白名单：写作侧对角标做越界与条目实质匹配双重校验（validate_citations@core/guardrails.py:140），模型产出与白名单冲突时以白名单为准。</w:t>
      </w:r>
    </w:p>
    <w:p w14:paraId="00000175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安全链路：提示注入检测（check_injection@core/guardrails.py:121）与密钥脱敏（redact_secrets@core/guardrails.py:130）在同一条护栏链上。</w:t>
      </w:r>
    </w:p>
    <w:p w14:paraId="00000176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29" w:name="section-4-4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（四）智能体内核与工具注册</w:t>
      </w:r>
      <w:bookmarkEnd w:id="29"/>
    </w:p>
    <w:p w14:paraId="00000177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22 个工具按能力域注册到 6 位专家的白名单上（build_registry@tools/definitions.py:379），每个工具都有入参 schema 与用途描述；路由器把自然语言意图映射到专家，专家再决定调用哪些工具。执行在 AST 白名单沙箱内，Prompt 注入无法越权；每次工具调用都进 Trace，可展开看输入、输出与耗时。</w:t>
      </w:r>
    </w:p>
    <w:p w14:paraId="00000178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30" w:name="section-4-5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（五）引用图谱挖掘</w:t>
      </w:r>
      <w:bookmarkEnd w:id="30"/>
    </w:p>
    <w:p w14:paraId="00000179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真实引用边 → networkx 计算 PageRank、介数中心性、特征向量中心性 → 按「被引 + PageRank」混合排序取前 30% 为基石论文 → 社区发现给出研究簇 → frontier 用五维打分（低被引但高相关度/近期性等）挑出前沿方向 → 在此之上生成综述与 Future Work 候选，并做可达性过滤，避免推荐「尚未被引用但也不相关」的论文。</w:t>
      </w:r>
    </w:p>
    <w:p w14:paraId="0000017A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31" w:name="section-4-6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（六）学术 Copilot</w:t>
      </w:r>
      <w:bookmarkEnd w:id="31"/>
    </w:p>
    <w:p w14:paraId="0000017B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提纲与正文：分步生成，每步可回看。</w:t>
      </w:r>
    </w:p>
    <w:p w14:paraId="0000017C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拓扑图：TikZ / Graphviz 双通道，缺 LaTeX 编译器时展示源码与编辑器链接（不假装编译成功）。</w:t>
      </w:r>
    </w:p>
    <w:p w14:paraId="0000017D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CSV 自动出图：从表格自动选图型（折线/柱状/散点/相关热力/箱线/雷达），并把真实数值事实注入 Caption，避免「图是图、话是话」。</w:t>
      </w:r>
    </w:p>
    <w:p w14:paraId="0000017E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翻译：中英互译 + 中英对照同步滚动 + 划词翻译 + 原位译文叠印四种形态。</w:t>
      </w:r>
    </w:p>
    <w:p w14:paraId="0000017F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32" w:name="section-4-7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（七）工程与交付</w:t>
      </w:r>
      <w:bookmarkEnd w:id="32"/>
    </w:p>
    <w:p w14:paraId="00000180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可复现构建：一键脚本、Docker、桌面版三条路径产出一致的业务代码。</w:t>
      </w:r>
    </w:p>
    <w:p w14:paraId="00000181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可观测：逐跳 Trace + 后台任务进度回调（services/tasks.py 线程池，MAX_PARALLEL=2），耗时 10–30 秒的模型调用一律后台化，不冻结界面。</w:t>
      </w:r>
    </w:p>
    <w:p w14:paraId="00000182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降级不静默：统一的降级矩阵在 UI 上明示当前状态。</w:t>
      </w:r>
    </w:p>
    <w:p w14:paraId="00000183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文档即交付：技术文档 30 页、演示与预指导脚本、评委 FAQ、部署手册等材料与代码同源，技术文档中的每条代码引用都可一键复跑校验。</w:t>
      </w:r>
    </w:p>
    <w:p w14:paraId="00000184">
      <w:pPr>
        <w:pStyle w:val="000004"/>
        <w:keepNext w:val="1"/>
        <w:keepLines w:val="1"/>
        <w:spacing w:before="384" w:beforeAutospacing="1" w:after="144" w:afterAutospacing="1" w:line="384"/>
        <w:ind w:left="0" w:right="0"/>
        <w:outlineLvl w:val="0"/>
        <w:rPr>
          <w:color w:val="1f5fae"/>
          <w:sz w:val="32"/>
          <w:szCs w:val="32"/>
        </w:rPr>
      </w:pPr>
      <w:bookmarkStart w:id="33" w:name="section-5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五、项目相关的图片/照片</w:t>
      </w:r>
      <w:bookmarkEnd w:id="33"/>
    </w:p>
    <w:p w14:paraId="00000185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以下均为本项目真实运行界面截图（本地运行，演示数据 6 篇，非示意图、无后期拼图），可用于核实界面与功能。</w:t>
      </w:r>
    </w:p>
    <w:p w14:paraId="00000186">
      <w:pPr>
        <w:spacing w:before="0" w:after="384" w:line="384"/>
        <w:ind w:left="0" w:right="0"/>
        <w:rPr>
          <w:color w:val="212121"/>
        </w:rPr>
      </w:pPr>
      <w:r>
        <w:drawing>
          <wp:inline>
            <wp:extent cx="5274310" cy="3662349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7">
      <w:pPr>
        <w:spacing w:before="96" w:after="144" w:line="384"/>
        <w:ind w:left="0" w:right="0"/>
        <w:jc w:val="center"/>
        <w:rPr>
          <w:color w:val="5b6570"/>
        </w:rPr>
      </w:pPr>
      <w:r>
        <w:rPr>
          <w:rFonts w:hint="eastAsia" w:ascii="SimSun" w:hAnsi="SimSun" w:eastAsia="SimSun" w:cs="SimSun"/>
          <w:color w:val="5b6570"/>
          <w:sz w:val="20"/>
        </w:rPr>
        <w:t>图 1　智能总助手：意图驱动的入口。左侧为九项导航与文献库状态；主区域是自然语言指令入口，下挂工具调用 Trace，用于展示「一句话 → 规划 → 工具调用 → 结果」的完整闭环。</w:t>
      </w:r>
    </w:p>
    <w:p w14:paraId="00000188">
      <w:pPr>
        <w:spacing w:before="0" w:after="384" w:line="384"/>
        <w:ind w:left="0" w:right="0"/>
        <w:rPr>
          <w:color w:val="212121"/>
        </w:rPr>
      </w:pPr>
      <w:r>
        <w:drawing>
          <wp:inline>
            <wp:extent cx="5274310" cy="3662349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9">
      <w:pPr>
        <w:spacing w:before="96" w:after="144" w:line="384"/>
        <w:ind w:left="0" w:right="0"/>
        <w:jc w:val="center"/>
        <w:rPr>
          <w:color w:val="5b6570"/>
        </w:rPr>
      </w:pPr>
      <w:r>
        <w:rPr>
          <w:rFonts w:hint="eastAsia" w:ascii="SimSun" w:hAnsi="SimSun" w:eastAsia="SimSun" w:cs="SimSun"/>
          <w:color w:val="5b6570"/>
          <w:sz w:val="20"/>
        </w:rPr>
        <w:t>图 2　文献库管理：细粒度解析产物。每篇文献展示解析后的标题树、表格数、插图数、公式数、参考文献数与文本块数，这些是后续检索与溯源的原料。</w:t>
      </w:r>
    </w:p>
    <w:p w14:paraId="0000018A">
      <w:pPr>
        <w:spacing w:before="0" w:after="384" w:line="384"/>
        <w:ind w:left="0" w:right="0"/>
        <w:rPr>
          <w:color w:val="212121"/>
        </w:rPr>
      </w:pPr>
      <w:r>
        <w:drawing>
          <wp:inline>
            <wp:extent cx="5274310" cy="3662349"/>
            <wp:docPr id="1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B">
      <w:pPr>
        <w:spacing w:before="96" w:after="144" w:line="384"/>
        <w:ind w:left="0" w:right="0"/>
        <w:jc w:val="center"/>
        <w:rPr>
          <w:color w:val="5b6570"/>
        </w:rPr>
      </w:pPr>
      <w:r>
        <w:rPr>
          <w:rFonts w:hint="eastAsia" w:ascii="SimSun" w:hAnsi="SimSun" w:eastAsia="SimSun" w:cs="SimSun"/>
          <w:color w:val="5b6570"/>
          <w:sz w:val="20"/>
        </w:rPr>
        <w:t>图 3　跨文献问答与溯源：角标、拒答与调试区。顶部是常用测试问题胶囊与检索范围选择；中部是提问框与「提问」按钮；下方示例是一次真实拒答：「未在文献库中找到可靠依据，为避免幻觉我宁可不作答」，并显示最高相关度 0.49 低于阈值 0.35、共 6 个候选片段。</w:t>
      </w:r>
    </w:p>
    <w:p w14:paraId="0000018C">
      <w:pPr>
        <w:spacing w:before="0" w:after="384" w:line="384"/>
        <w:ind w:left="0" w:right="0"/>
        <w:rPr>
          <w:color w:val="212121"/>
        </w:rPr>
      </w:pPr>
      <w:r>
        <w:drawing>
          <wp:inline>
            <wp:extent cx="5274310" cy="3662349"/>
            <wp:docPr id="1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D">
      <w:pPr>
        <w:spacing w:before="96" w:after="144" w:line="384"/>
        <w:ind w:left="0" w:right="0"/>
        <w:jc w:val="center"/>
        <w:rPr>
          <w:color w:val="5b6570"/>
        </w:rPr>
      </w:pPr>
      <w:r>
        <w:rPr>
          <w:rFonts w:hint="eastAsia" w:ascii="SimSun" w:hAnsi="SimSun" w:eastAsia="SimSun" w:cs="SimSun"/>
          <w:color w:val="5b6570"/>
          <w:sz w:val="20"/>
        </w:rPr>
        <w:t>图 4　版式阅读与智能翻译：双栏不串栏。左侧为论文页缩略与工具条，右侧为按原版式渲染的正文，双栏论文的左右栏保持分栏不串；另有中英对照、划词翻译与栏数检测入口。</w:t>
      </w:r>
    </w:p>
    <w:p w14:paraId="0000018E">
      <w:pPr>
        <w:spacing w:before="0" w:after="384" w:line="384"/>
        <w:ind w:left="0" w:right="0"/>
        <w:rPr>
          <w:color w:val="212121"/>
        </w:rPr>
      </w:pPr>
      <w:r>
        <w:drawing>
          <wp:inline>
            <wp:extent cx="5274310" cy="3662349"/>
            <wp:docPr id="1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F">
      <w:pPr>
        <w:spacing w:before="96" w:after="144" w:line="384"/>
        <w:ind w:left="0" w:right="0"/>
        <w:jc w:val="center"/>
        <w:rPr>
          <w:color w:val="5b6570"/>
        </w:rPr>
      </w:pPr>
      <w:r>
        <w:rPr>
          <w:rFonts w:hint="eastAsia" w:ascii="SimSun" w:hAnsi="SimSun" w:eastAsia="SimSun" w:cs="SimSun"/>
          <w:color w:val="5b6570"/>
          <w:sz w:val="20"/>
        </w:rPr>
        <w:t>图 5　论文检索与追踪：多源检索与引用含金量。上方为 arXiv / PubMed 多源检索与结果列表（含引用含金量标注），下方为主题订阅与增量追踪面板。</w:t>
      </w:r>
    </w:p>
    <w:p w14:paraId="00000190">
      <w:pPr>
        <w:spacing w:before="0" w:after="384" w:line="384"/>
        <w:ind w:left="0" w:right="0"/>
        <w:rPr>
          <w:color w:val="212121"/>
        </w:rPr>
      </w:pPr>
      <w:r>
        <w:drawing>
          <wp:inline>
            <wp:extent cx="5274310" cy="3662349"/>
            <wp:docPr id="2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91">
      <w:pPr>
        <w:spacing w:before="96" w:after="144" w:line="384"/>
        <w:ind w:left="0" w:right="0"/>
        <w:jc w:val="center"/>
        <w:rPr>
          <w:color w:val="5b6570"/>
        </w:rPr>
      </w:pPr>
      <w:r>
        <w:rPr>
          <w:rFonts w:hint="eastAsia" w:ascii="SimSun" w:hAnsi="SimSun" w:eastAsia="SimSun" w:cs="SimSun"/>
          <w:color w:val="5b6570"/>
          <w:sz w:val="20"/>
        </w:rPr>
        <w:t>图 6　引用图谱与综述：真实引用边建图。图谱由 PDF 真实引用边构建（networkx 计算），并给出社区结构、基石论文与图谱明细；右侧可一键生成领域综述与 Future Work。</w:t>
      </w:r>
    </w:p>
    <w:p w14:paraId="00000192">
      <w:pPr>
        <w:spacing w:before="0" w:after="384" w:line="384"/>
        <w:ind w:left="0" w:right="0"/>
        <w:rPr>
          <w:color w:val="212121"/>
        </w:rPr>
      </w:pPr>
      <w:r>
        <w:drawing>
          <wp:inline>
            <wp:extent cx="5274310" cy="3662349"/>
            <wp:docPr id="23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93">
      <w:pPr>
        <w:spacing w:before="96" w:after="144" w:line="384"/>
        <w:ind w:left="0" w:right="0"/>
        <w:jc w:val="center"/>
        <w:rPr>
          <w:color w:val="5b6570"/>
        </w:rPr>
      </w:pPr>
      <w:r>
        <w:rPr>
          <w:rFonts w:hint="eastAsia" w:ascii="SimSun" w:hAnsi="SimSun" w:eastAsia="SimSun" w:cs="SimSun"/>
          <w:color w:val="5b6570"/>
          <w:sz w:val="20"/>
        </w:rPr>
        <w:t>图 7　写作辅助与可视化：References 与自动出图。左下是提纲与正文生成区（References 由系统确定性拼接），右侧是 CSV 导入后自动出图与 Caption 生成。</w:t>
      </w:r>
    </w:p>
    <w:p w14:paraId="00000194">
      <w:pPr>
        <w:pStyle w:val="000004"/>
        <w:keepNext w:val="1"/>
        <w:keepLines w:val="1"/>
        <w:spacing w:before="384" w:beforeAutospacing="1" w:after="144" w:afterAutospacing="1" w:line="384"/>
        <w:ind w:left="0" w:right="0"/>
        <w:outlineLvl w:val="0"/>
        <w:rPr>
          <w:color w:val="1f5fae"/>
          <w:sz w:val="32"/>
          <w:szCs w:val="32"/>
        </w:rPr>
      </w:pPr>
      <w:bookmarkStart w:id="34" w:name="section-6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六、项目之前是否发表过或获奖</w:t>
      </w:r>
      <w:bookmarkEnd w:id="34"/>
    </w:p>
    <w:p w14:paraId="00000195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如实说明：截至本文档定稿日（2026-10-26），本作品为本次赛事的原创参赛作品，未获得任何奖项，未在学术会议或期刊发表，未申请软件著作权或专利。</w:t>
      </w:r>
    </w:p>
    <w:p w14:paraId="00000196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具体说明如下。</w:t>
      </w:r>
    </w:p>
    <w:p w14:paraId="00000197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获奖情况：无。截至定稿日，本作品尚未参加任何以「获奖」为结果的评审或赛事，本次参赛是首次公开亮相。</w:t>
      </w:r>
    </w:p>
    <w:p w14:paraId="00000198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发表情况：无。本作品未以论文形式在学术会议或期刊发表，也未预印本公开。</w:t>
      </w:r>
    </w:p>
    <w:p w14:paraId="00000199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知识产权登记：未申请软件著作权、未申请专利。</w:t>
      </w:r>
    </w:p>
    <w:p w14:paraId="0000019A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公开时间：代码仓库于 2026 年内首次公开提交（Public），git 历史自 2026 年初立项起连续可查，可作为原创性的佐证。</w:t>
      </w:r>
    </w:p>
    <w:p w14:paraId="0000019B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第三方组件许可：本作品使用了一批宽松许可的开源组件（Streamlit、ChromaDB、networkx、PyMuPDF、ONNX Runtime、Transformers、pywebview 等），其许可均为 Apache-2.0 / MIT / BSD 等商业友好类型；这些组件是工具依赖，不构成本作品的原创内容。本作品的原创部分是自研的 Agent 内核、版式解析层、四道防幻觉防线、引用图谱与 Copilot 逻辑。</w:t>
      </w:r>
    </w:p>
    <w:p w14:paraId="0000019C">
      <w:pPr>
        <w:numPr>
          <w:ilvl w:val="0"/>
          <w:numId w:val="1"/>
        </w:numPr>
        <w:spacing w:before="0" w:after="144" w:line="384"/>
        <w:ind w:left="480" w:right="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后续声明：若本作品在后续赛事中获奖或被发表，本文档将同步更新该节，并在引用本项目时标注成果来源与获奖信息。</w:t>
      </w:r>
    </w:p>
    <w:p w14:paraId="0000019D">
      <w:pPr>
        <w:pStyle w:val="000004"/>
        <w:keepNext w:val="1"/>
        <w:keepLines w:val="1"/>
        <w:spacing w:before="384" w:beforeAutospacing="1" w:after="144" w:afterAutospacing="1" w:line="384"/>
        <w:ind w:left="0" w:right="0"/>
        <w:outlineLvl w:val="0"/>
        <w:rPr>
          <w:color w:val="1f5fae"/>
          <w:sz w:val="32"/>
          <w:szCs w:val="32"/>
        </w:rPr>
      </w:pPr>
      <w:bookmarkStart w:id="35" w:name="section-7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七、若项目是在其他项目基础上优化</w:t>
      </w:r>
      <w:bookmarkEnd w:id="35"/>
    </w:p>
    <w:p w14:paraId="0000019E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如实说明：本作品不是在任何他人已发布或已获奖的项目基础上改造而来，而是由本团队从零自研。以下说明三点。</w:t>
      </w:r>
    </w:p>
    <w:p w14:paraId="0000019F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36" w:name="section-7-1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（一）自研演进路径（可由 git 历史逐条核验）</w:t>
      </w:r>
      <w:bookmarkEnd w:id="36"/>
    </w:p>
    <w:p w14:paraId="000001A0">
      <w:pPr>
        <w:jc w:val="center"/>
      </w:pPr>
      <w:r>
        <w:rPr>
          <w:rFonts w:hint="eastAsia"/>
          <w:color w:val="888888"/>
          <w:sz w:val="18"/>
        </w:rPr>
        <w:t>表 7-1　自研演进路径与各阶段主要产出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阶段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目标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主要产出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立项选题（2026 年初）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明确 AI4S 三大痛点：文献解析串读、LLM 幻觉、离线不可用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需求清单与竞品对比表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原型验证（2026 年上半年）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打通 Streamlit + 基础 RAG 链路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v1 单体原型（已归档至 version_history/）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核心模块开发（2026 年上半年 – 年中）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七大模块并行开发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模块化重构为 core/、services/、tools/、ui/ 分层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抗幻觉专项（2026 年中 – 下半年）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拒答闸门、引用一致性校验、修复环、白名单四道防线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services/rag.py、core/guardrails.py 及配套测试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性能与稳定性（2026 年下半年）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541 页长文档分批入库、单页超时、内存治理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实测 537 页提取 / 1305 块 / 25.32s / 893.1MB / 0 失败页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交付与答辩准备（2026 年下半年 – 冬）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技术文档、演示视频、在线部署、团队信息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30 页技术文档、演示与预指导脚本、在线演示地址</w:t>
            </w:r>
          </w:p>
        </w:tc>
      </w:tr>
    </w:tbl>
    <w:p w14:paraId="000001B6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优化的是自己的上一版，不是别人的项目：例如把 v1 单体原型重构为分层架构、把「引用校验只查角标范围」升级为「逐句覆盖率判定」、把「拒答写在 prompt 里」升级为「生成前的代码闸门」、把「双栏靠模型猜」升级为「4 条几何必要条件」，这些都是本项目自身版本的迭代，git 提交可逐条追溯。</w:t>
      </w:r>
    </w:p>
    <w:p w14:paraId="000001B7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37" w:name="section-7-2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（二）与通用工具的定位差异（说明我们不是在改造它们）</w:t>
      </w:r>
      <w:bookmarkEnd w:id="37"/>
    </w:p>
    <w:p w14:paraId="000001B8">
      <w:pPr>
        <w:jc w:val="center"/>
      </w:pPr>
      <w:r>
        <w:rPr>
          <w:rFonts w:hint="eastAsia"/>
          <w:color w:val="888888"/>
          <w:sz w:val="18"/>
        </w:rPr>
        <w:t>表 7-2　MoreHand 与四类通用工具的定位差异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工具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它的重心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MoreHand 的重心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关系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Zotero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文献管理（管）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文献理解（懂）：内容级语义去重、版本差异、引用链挖掘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并列工具，非改造对象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Elicit / Semantic Scholar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检索与综述（找得准）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检索之后能不能验真：可点击页码锚点 + 逐句引用校验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并列工具，非改造对象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ChatGPT 等通用模型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通用知识问答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限定在「我给的文献」内作答，不确定就拒答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并列工具，非改造对象</w:t>
            </w:r>
          </w:p>
        </w:tc>
      </w:tr>
      <w:tr>
        <w:trPr/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draw.io / Overleaf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绘图与排版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从文献到初稿的闭环，图表数值与正文事实绑定</w:t>
            </w:r>
          </w:p>
        </w:tc>
        <w:tc>
          <w:tcPr>
            <w:tcW w:w="2076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并列工具，非改造对象</w:t>
            </w:r>
          </w:p>
        </w:tc>
      </w:tr>
    </w:tbl>
    <w:p w14:paraId="000001CD">
      <w:pPr>
        <w:pStyle w:val="000001"/>
        <w:keepNext w:val="1"/>
        <w:keepLines w:val="1"/>
        <w:spacing w:before="240" w:beforeAutospacing="1" w:after="144" w:afterAutospacing="1" w:line="384"/>
        <w:ind w:left="0" w:right="0"/>
        <w:outlineLvl w:val="1"/>
        <w:rPr>
          <w:color w:val="212121"/>
          <w:sz w:val="32"/>
          <w:szCs w:val="32"/>
        </w:rPr>
      </w:pPr>
      <w:bookmarkStart w:id="38" w:name="section-7-3"/>
      <w:r>
        <w:rPr>
          <w:rFonts w:hint="eastAsia" w:ascii="Microsoft YaHei" w:hAnsi="Microsoft YaHei" w:eastAsia="Microsoft YaHei" w:cs="Microsoft YaHei"/>
          <w:b w:val="1"/>
          <w:color w:val="212121"/>
          <w:sz w:val="24"/>
        </w:rPr>
        <w:t>（三）若评审要求更多佐证</w:t>
      </w:r>
      <w:bookmarkEnd w:id="38"/>
    </w:p>
    <w:p w14:paraId="000001CE">
      <w:pP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可提供：① 连续 git 提交历史（自 2026 年初立项起）；② version_history/ 下的 v1 原型归档；③ 每一项关键能力对应的复跑脚本与实测日志。我们不引用任何未经验证的「既有成果」来抬高本作品。</w:t>
      </w:r>
    </w:p>
    <w:p w14:paraId="000001CF">
      <w:pPr>
        <w:pStyle w:val="000004"/>
        <w:keepNext w:val="1"/>
        <w:keepLines w:val="1"/>
        <w:pBdr>
          <w:top w:val="single" w:color="d6dbe1" w:sz="6"/>
        </w:pBdr>
        <w:spacing w:before="384" w:beforeAutospacing="1" w:after="144" w:afterAutospacing="1" w:line="384"/>
        <w:ind w:left="0" w:right="0"/>
        <w:outlineLvl w:val="0"/>
        <w:rPr>
          <w:color w:val="1f5fae"/>
          <w:sz w:val="32"/>
          <w:szCs w:val="32"/>
        </w:rPr>
      </w:pPr>
      <w:bookmarkStart w:id="39" w:name="section-8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附录 A · 配套材料索引</w:t>
      </w:r>
      <w:bookmarkEnd w:id="39"/>
    </w:p>
    <w:p w14:paraId="000001D0">
      <w:pPr>
        <w:pBdr>
          <w:top w:val="single" w:color="d6dbe1" w:sz="6"/>
        </w:pBd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随本作品一并交付的材料清单如下，均与代码同源、可逐条核验。</w:t>
      </w:r>
    </w:p>
    <w:p w14:paraId="000001D1">
      <w:pPr>
        <w:pBdr>
          <w:top w:val="single" w:color="d6dbe1" w:sz="6"/>
        </w:pBdr>
        <w:spacing w:before="0" w:after="0" w:line="384"/>
        <w:ind w:left="0" w:right="0"/>
        <w:jc w:val="center"/>
        <w:rPr>
          <w:color w:val="212121"/>
        </w:rPr>
      </w:pPr>
      <w:r>
        <w:rPr>
          <w:rFonts w:hint="eastAsia"/>
          <w:color w:val="888888"/>
          <w:sz w:val="18"/>
        </w:rPr>
        <w:t>表 A-1　随本作品交付的配套材料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材料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路径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技术文档（30 页）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资料/技术文档.pdf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架构 / 选型 / 参数 / 降级矩阵 / 236 条代码引用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预指导环节介绍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资料/预指导环节介绍.md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面向专家的说明底稿（含追问口径）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预指导视频脚本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资料/预指导视频脚本.md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3 分 30 秒录屏脚本 + 速查卡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演示视频脚本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资料/演示视频脚本.md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决赛 8 分钟完整录屏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演示彩排脚本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资料/演示彩排脚本.md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现场真人操作 7 分 30 秒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评委 FAQ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资料/评委FAQ.md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22 条高频问题，每条附文件行号依据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5 分钟快速体验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资料/5分钟快速体验指南.md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评委视角的上手路径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部署操作手册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资料/部署操作手册.md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五步部署 + 报错速查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网络降级演练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资料/网络降级演练手册.md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断网/限流时的降级处置</w:t>
            </w:r>
          </w:p>
        </w:tc>
      </w:tr>
      <w:tr>
        <w:trPr/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团队信息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资料/团队信息.md</w:t>
            </w:r>
          </w:p>
        </w:tc>
        <w:tc>
          <w:tcPr>
            <w:tcW w:w="2768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队伍与分工矩阵</w:t>
            </w:r>
          </w:p>
        </w:tc>
      </w:tr>
    </w:tbl>
    <w:p w14:paraId="000001F3">
      <w:pPr>
        <w:pStyle w:val="000004"/>
        <w:keepNext w:val="1"/>
        <w:keepLines w:val="1"/>
        <w:pBdr>
          <w:top w:val="single" w:color="d6dbe1" w:sz="6"/>
        </w:pBdr>
        <w:spacing w:before="384" w:beforeAutospacing="1" w:after="144" w:afterAutospacing="1" w:line="384"/>
        <w:ind w:left="0" w:right="0"/>
        <w:outlineLvl w:val="0"/>
        <w:rPr>
          <w:color w:val="1f5fae"/>
          <w:sz w:val="32"/>
          <w:szCs w:val="32"/>
        </w:rPr>
      </w:pPr>
      <w:bookmarkStart w:id="40" w:name="section-9"/>
      <w:r>
        <w:rPr>
          <w:rFonts w:hint="eastAsia" w:ascii="Microsoft YaHei" w:hAnsi="Microsoft YaHei" w:eastAsia="Microsoft YaHei" w:cs="Microsoft YaHei"/>
          <w:b w:val="1"/>
          <w:color w:val="1f5fae"/>
          <w:sz w:val="30"/>
        </w:rPr>
        <w:t>附录 B · 版本与复核</w:t>
      </w:r>
      <w:bookmarkEnd w:id="40"/>
    </w:p>
    <w:p w14:paraId="000001F4">
      <w:pPr>
        <w:pBdr>
          <w:top w:val="single" w:color="d6dbe1" w:sz="6"/>
        </w:pBdr>
        <w:spacing w:before="0" w:after="144" w:line="384"/>
        <w:ind w:left="0" w:right="0" w:firstLine="480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本附录记录本文档的版本与复核基线，供评审核对。</w:t>
      </w:r>
    </w:p>
    <w:p w14:paraId="000001F5">
      <w:pPr>
        <w:pBdr>
          <w:top w:val="single" w:color="d6dbe1" w:sz="6"/>
        </w:pBdr>
        <w:spacing w:before="0" w:after="0" w:line="384"/>
        <w:ind w:left="0" w:right="0"/>
        <w:jc w:val="center"/>
        <w:rPr>
          <w:color w:val="212121"/>
        </w:rPr>
      </w:pPr>
      <w:r>
        <w:rPr>
          <w:rFonts w:hint="eastAsia"/>
          <w:color w:val="888888"/>
          <w:sz w:val="18"/>
        </w:rPr>
        <w:t>表 B-1　文档版本与复核基线</w:t>
      </w:r>
    </w:p>
    <w:tbl>
      <w:tblPr>
        <w:tblW w:w="8306" w:type="dxa"/>
        <w:shd w:color="21212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项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shd w:val="clear" w:fill="f2f5f9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文档版本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v1.0（2026-10-26）</w:t>
            </w:r>
          </w:p>
        </w:tc>
      </w:tr>
      <w:tr>
        <w:trPr/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引用校验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scripts/_check_doc_refs.py：技术文档 236 条 / 0 疑似 / 0 无法判定</w:t>
            </w:r>
          </w:p>
        </w:tc>
      </w:tr>
      <w:tr>
        <w:trPr/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门禁基线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单元测试 238/238 · UI 冒烟 9 页 0 异常 · 阅读页 62/62 · 真实 API 21/21</w:t>
            </w:r>
          </w:p>
        </w:tc>
      </w:tr>
      <w:tr>
        <w:trPr/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写作纪律</w:t>
            </w:r>
          </w:p>
        </w:tc>
        <w:tc>
          <w:tcPr>
            <w:tcW w:w="4153" w:type="dxa"/>
            <w:tcBorders>
              <w:top w:val="single" w:color="d6dbe1" w:sz="6"/>
              <w:left w:val="single" w:color="d6dbe1" w:sz="6"/>
              <w:bottom w:val="single" w:color="d6dbe1" w:sz="6"/>
              <w:right w:val="single" w:color="d6dbe1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无实测支撑的功能与数字不写入；界面文案与代码现查现用；旧审计快照中的完成度百分比不作为当前状态引用</w:t>
            </w:r>
          </w:p>
        </w:tc>
      </w:tr>
    </w:tbl>
    <w:p w14:paraId="00000200">
      <w:pPr/>
    </w:p>
    <w:sectPr>
      <w:footerReference r:id="rId5" w:type="default"/>
      <w:type w:val="nextPage"/>
      <w:pgSz w:w="11906" w:h="16838"/>
      <w:pgMar w:top="1440" w:right="1800" w:bottom="1440" w:left="1800" w:header="851" w:footer="992" w:gutter="0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20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9" w:uiPriority="39" w:semiHidden="1" w:unhideWhenUsed="1"/>
    <w:lsdException w:name="Hyperlink" w:semiHidden="1" w:unhideWhenUsed="1"/>
    <w:lsdException w:name="List Continue 2" w:semiHidden="1" w:unhideWhenUsed="1"/>
    <w:lsdException w:name="Normal" w:uiPriority="0" w:qFormat="1"/>
    <w:lsdException w:name="endnote text" w:semiHidden="1" w:unhideWhenUsed="1"/>
    <w:lsdException w:name="Body Text Indent" w:semiHidden="1" w:unhideWhenUsed="1"/>
    <w:lsdException w:name="toc 3" w:uiPriority="39" w:semiHidden="1" w:unhideWhenUsed="1"/>
    <w:lsdException w:name="toc 8" w:uiPriority="39" w:semiHidden="1" w:unhideWhenUsed="1"/>
    <w:lsdException w:name="List Number 2" w:semiHidden="1" w:unhideWhenUsed="1"/>
    <w:lsdException w:name="List Continue 4" w:semiHidden="1" w:unhideWhenUsed="1"/>
    <w:lsdException w:name="annotation text" w:semiHidden="1" w:unhideWhenUsed="1"/>
    <w:lsdException w:name="index 5" w:semiHidden="1" w:unhideWhenUsed="1"/>
    <w:lsdException w:name="toc 5" w:uiPriority="39" w:semiHidden="1" w:unhideWhenUsed="1"/>
    <w:lsdException w:name="heading 2" w:uiPriority="9" w:semiHidden="1" w:unhideWhenUsed="1" w:qFormat="1"/>
    <w:lsdException w:name="List Bullet 4" w:semiHidden="1" w:unhideWhenUsed="1"/>
    <w:lsdException w:name="Strong" w:uiPriority="22" w:qFormat="1"/>
    <w:lsdException w:name="toa heading" w:semiHidden="1" w:unhideWhenUsed="1"/>
    <w:lsdException w:name="List Bullet" w:semiHidden="1" w:unhideWhenUsed="1"/>
    <w:lsdException w:name="Body Text 2" w:semiHidden="1" w:unhideWhenUsed="1"/>
    <w:lsdException w:name="List 5" w:semiHidden="1" w:unhideWhenUsed="1"/>
    <w:lsdException w:name="List 2" w:semiHidden="1" w:unhideWhenUsed="1"/>
    <w:lsdException w:name="heading 6" w:uiPriority="9" w:semiHidden="1" w:unhideWhenUsed="1" w:qFormat="1"/>
    <w:lsdException w:name="Salutation" w:semiHidden="1" w:unhideWhenUsed="1"/>
    <w:lsdException w:name="Normal Indent" w:semiHidden="1" w:unhideWhenUsed="1"/>
    <w:lsdException w:name="index 8" w:semiHidden="1" w:unhideWhenUsed="1"/>
    <w:lsdException w:name="List Continue" w:semiHidden="1" w:unhideWhenUsed="1"/>
    <w:lsdException w:name="toc 7" w:uiPriority="39" w:semiHidden="1" w:unhideWhenUsed="1"/>
    <w:lsdException w:name="heading 4" w:uiPriority="9" w:semiHidden="1" w:unhideWhenUsed="1" w:qFormat="1"/>
    <w:lsdException w:name="table of figures" w:semiHidden="1" w:unhideWhenUsed="1"/>
    <w:lsdException w:name="Body Text Indent 3" w:semiHidden="1" w:unhideWhenUsed="1"/>
    <w:lsdException w:name="heading 9" w:uiPriority="9" w:semiHidden="1" w:unhideWhenUsed="1" w:qFormat="1"/>
    <w:lsdException w:name="Block Text" w:semiHidden="1" w:unhideWhenUsed="1"/>
    <w:lsdException w:name="table of authorities" w:semiHidden="1" w:unhideWhenUsed="1"/>
    <w:lsdException w:name="List Bullet 2" w:semiHidden="1" w:unhideWhenUsed="1"/>
    <w:lsdException w:name="Message Header" w:semiHidden="1" w:unhideWhenUsed="1"/>
    <w:lsdException w:name="Date" w:semiHidden="1" w:unhideWhenUsed="1"/>
    <w:lsdException w:name="List 4" w:semiHidden="1" w:unhideWhenUsed="1"/>
    <w:lsdException w:name="heading 1" w:uiPriority="9" w:qFormat="1"/>
    <w:lsdException w:name="List Number 3" w:semiHidden="1" w:unhideWhenUsed="1"/>
    <w:lsdException w:name="Body Text First Indent 2" w:semiHidden="1" w:unhideWhenUsed="1"/>
    <w:lsdException w:name="heading 8" w:uiPriority="9" w:semiHidden="1" w:unhideWhenUsed="1" w:qFormat="1"/>
    <w:lsdException w:name="List Continue 3" w:semiHidden="1" w:unhideWhenUsed="1"/>
    <w:lsdException w:name="List Number" w:semiHidden="1" w:unhideWhenUsed="1"/>
    <w:lsdException w:name="index 7" w:semiHidden="1" w:unhideWhenUsed="1"/>
    <w:lsdException w:name="heading 5" w:uiPriority="9" w:semiHidden="1" w:unhideWhenUsed="1" w:qFormat="1"/>
    <w:lsdException w:name="toc 2" w:uiPriority="39" w:semiHidden="1" w:unhideWhenUsed="1"/>
    <w:lsdException w:name="page number" w:semiHidden="1" w:unhideWhenUsed="1"/>
    <w:lsdException w:name="Body Text" w:semiHidden="1" w:unhideWhenUsed="1"/>
    <w:lsdException w:name="Note Heading" w:semiHidden="1" w:unhideWhenUsed="1"/>
    <w:lsdException w:name="FollowedHyperlink" w:semiHidden="1" w:unhideWhenUsed="1"/>
    <w:lsdException w:name="index 6" w:semiHidden="1" w:unhideWhenUsed="1"/>
    <w:lsdException w:name="index 4" w:semiHidden="1" w:unhideWhenUsed="1"/>
    <w:lsdException w:name="Subtitle" w:uiPriority="11" w:qFormat="1"/>
    <w:lsdException w:name="index 3" w:semiHidden="1" w:unhideWhenUsed="1"/>
    <w:lsdException w:name="Title" w:uiPriority="10" w:qFormat="1"/>
    <w:lsdException w:name="annotation reference" w:semiHidden="1" w:unhideWhenUsed="1"/>
    <w:lsdException w:name="heading 3" w:uiPriority="9" w:semiHidden="1" w:unhideWhenUsed="1" w:qFormat="1"/>
    <w:lsdException w:name="Body Text First Indent" w:semiHidden="1" w:unhideWhenUsed="1"/>
    <w:lsdException w:name="List" w:semiHidden="1" w:unhideWhenUsed="1"/>
    <w:lsdException w:name="Body Text Indent 2" w:semiHidden="1" w:unhideWhenUsed="1"/>
    <w:lsdException w:name="List Number 4" w:semiHidden="1" w:unhideWhenUsed="1"/>
    <w:lsdException w:name="envelope address" w:semiHidden="1" w:unhideWhenUsed="1"/>
    <w:lsdException w:name="List Bullet 3" w:semiHidden="1" w:unhideWhenUsed="1"/>
    <w:lsdException w:name="List Bullet 5" w:semiHidden="1" w:unhideWhenUsed="1"/>
    <w:lsdException w:name="Closing" w:semiHidden="1" w:unhideWhenUsed="1"/>
    <w:lsdException w:name="toc 4" w:uiPriority="39" w:semiHidden="1" w:unhideWhenUsed="1"/>
    <w:lsdException w:name="List 3" w:semiHidden="1" w:unhideWhenUsed="1"/>
    <w:lsdException w:name="List Number 5" w:semiHidden="1" w:unhideWhenUsed="1"/>
    <w:lsdException w:name="endnote reference" w:semiHidden="1" w:unhideWhenUsed="1"/>
    <w:lsdException w:name="line number" w:semiHidden="1" w:unhideWhenUsed="1"/>
    <w:lsdException w:name="List Continue 5" w:semiHidden="1" w:unhideWhenUsed="1"/>
    <w:lsdException w:name="footnote reference" w:semiHidden="1" w:unhideWhenUsed="1"/>
    <w:lsdException w:name="heading 7" w:uiPriority="9" w:semiHidden="1" w:unhideWhenUsed="1" w:qFormat="1"/>
    <w:lsdException w:name="index 2" w:semiHidden="1" w:unhideWhenUsed="1"/>
    <w:lsdException w:name="index 9" w:semiHidden="1" w:unhideWhenUsed="1"/>
    <w:lsdException w:name="index 1" w:semiHidden="1" w:unhideWhenUsed="1"/>
    <w:lsdException w:name="Signature" w:semiHidden="1" w:unhideWhenUsed="1"/>
    <w:lsdException w:name="Default Paragraph Font" w:uiPriority="1" w:semiHidden="1" w:unhideWhenUsed="1"/>
    <w:lsdException w:name="toc 6" w:uiPriority="39" w:semiHidden="1" w:unhideWhenUsed="1"/>
    <w:lsdException w:name="toc 1" w:uiPriority="39" w:semiHidden="1" w:unhideWhenUsed="1"/>
    <w:lsdException w:name="header" w:semiHidden="1" w:unhideWhenUsed="1"/>
    <w:lsdException w:name="envelope return" w:semiHidden="1" w:unhideWhenUsed="1"/>
    <w:lsdException w:name="Body Text 3" w:semiHidden="1" w:unhideWhenUsed="1"/>
    <w:lsdException w:name="footnote text" w:semiHidden="1" w:unhideWhenUsed="1"/>
    <w:lsdException w:name="footer" w:semiHidden="1" w:unhideWhenUsed="1"/>
    <w:lsdException w:name="macro" w:semiHidden="1" w:unhideWhenUsed="1"/>
    <w:lsdException w:name="caption" w:uiPriority="35" w:semiHidden="1" w:unhideWhenUsed="1" w:qFormat="1"/>
    <w:lsdException w:name="index heading" w:semiHidden="1" w:unhideWhenUsed="1"/>
  </w:latentStyles>
  <w:style w:type="paragraph" w:styleId="000004">
    <w:name w:val="heading 1"/>
    <w:basedOn w:val="000002"/>
    <w:next w:val="000002"/>
    <w:uiPriority w:val="9"/>
    <w:qFormat w:val="1"/>
    <w:pPr>
      <w:keepNext w:val="1"/>
      <w:keepLines w:val="1"/>
      <w:spacing w:before="200" w:after="100"/>
      <w:outlineLvl w:val="0"/>
    </w:pPr>
    <w:rPr>
      <w:b w:val="1"/>
      <w:sz w:val="26"/>
      <w:szCs w:val="26"/>
    </w:rPr>
  </w:style>
  <w:style w:type="paragraph" w:styleId="2jzjjr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1">
    <w:name w:val="heading 2"/>
    <w:basedOn w:val="000002"/>
    <w:next w:val="000002"/>
    <w:uiPriority w:val="9"/>
    <w:qFormat w:val="1"/>
    <w:pPr>
      <w:keepNext w:val="1"/>
      <w:keepLines w:val="1"/>
      <w:spacing w:before="180" w:after="80"/>
      <w:outlineLvl w:val="1"/>
    </w:pPr>
    <w:rPr>
      <w:b w:val="1"/>
      <w:sz w:val="24"/>
      <w:szCs w:val="24"/>
    </w:rPr>
  </w:style>
  <w:style w:type="paragraph" w:styleId="000003">
    <w:name w:val="toc 1"/>
    <w:basedOn w:val="000002"/>
    <w:qFormat w:val="1"/>
    <w:pPr>
      <w:tabs>
        <w:tab w:val="right" w:leader="dot" w:pos="8306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image" Target="media/image8.png" /><Relationship Id="rId10" Type="http://schemas.openxmlformats.org/officeDocument/2006/relationships/image" Target="media/image5.png" /><Relationship Id="rId0" Type="http://schemas.openxmlformats.org/officeDocument/2006/relationships/styles" Target="styles.xml" /><Relationship Id="rId9" Type="http://schemas.openxmlformats.org/officeDocument/2006/relationships/image" Target="media/image4.png" /><Relationship Id="rId1" Type="http://schemas.openxmlformats.org/officeDocument/2006/relationships/settings" Target="settings.xml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2026-10-26T21:24:34Z</dcterms:created>
  <dcterms:modified xsi:type="dcterms:W3CDTF">2026-10-26T21:24:34Z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"01a17859445272b5bec0cd10000f8a0d", "ReservedCode1": "", "ContentPropagator": "00119111010856365494821B355", "PropagateID": "01a17859445272b5bec0cd10000f8a0d", "ReservedCode2": ""}}</vt:lpwstr>
  </property>
</Properties>
</file>