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100" w:before="0"/>
      </w:pPr>
      <w:r>
        <w:rPr>
          <w:rFonts w:ascii="Lato" w:cs="Lato" w:eastAsia="Lato" w:hAnsi="Lato"/>
          <w:b/>
          <w:bCs/>
          <w:color w:val="3D6B4F"/>
          <w:spacing w:val="100"/>
          <w:sz w:val="52"/>
          <w:szCs w:val="52"/>
        </w:rPr>
        <w:t xml:space="preserve">BRAND GUIDELINES</w:t>
      </w:r>
    </w:p>
    <w:p>
      <w:pPr>
        <w:spacing w:after="140" w:before="0"/>
      </w:pPr>
      <w:r>
        <w:rPr>
          <w:rFonts w:ascii="Lato" w:cs="Lato" w:eastAsia="Lato" w:hAnsi="Lato"/>
          <w:b/>
          <w:bCs/>
          <w:color w:val="2C3E35"/>
          <w:sz w:val="88"/>
          <w:szCs w:val="88"/>
        </w:rPr>
        <w:t xml:space="preserve">Riya Mittal</w:t>
      </w:r>
    </w:p>
    <w:p>
      <w:pPr>
        <w:spacing w:after="400" w:before="0"/>
      </w:pPr>
      <w:r>
        <w:rPr>
          <w:rFonts w:ascii="Lato" w:cs="Lato" w:eastAsia="Lato" w:hAnsi="Lato"/>
          <w:color w:val="C2714F"/>
          <w:sz w:val="26"/>
          <w:szCs w:val="26"/>
        </w:rPr>
        <w:t xml:space="preserve">Marketing Consultant  •  Storytelling &amp; Audience Growth for Purpose-Driven 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14F" w:sz="28"/>
              <w:bottom w:val="none" w:color="FFFFFF" w:sz="0"/>
              <w:right w:val="none" w:color="FFFFFF" w:sz="0"/>
            </w:tcBorders>
            <w:shd w:fill="FDF0E8" w:val="clear"/>
            <w:tcMar>
              <w:top w:type="dxa" w:w="180"/>
              <w:left w:type="dxa" w:w="280"/>
              <w:bottom w:type="dxa" w:w="180"/>
              <w:right w:type="dxa" w:w="200"/>
            </w:tcMar>
          </w:tcPr>
          <w:p>
            <w:r>
              <w:rPr>
                <w:rFonts w:ascii="Lato" w:cs="Lato" w:eastAsia="Lato" w:hAnsi="Lato"/>
                <w:i/>
                <w:iCs/>
                <w:color w:val="2C3E35"/>
                <w:sz w:val="23"/>
                <w:szCs w:val="23"/>
              </w:rPr>
              <w:t xml:space="preserve">Riya Mittal is a marketing and communications consultant with 6+ years of experience helping purpose-driven organisations build audiences, sharpen their stories, and grow with intention. She has lived the gap between the world as it is and the world as it should be — and that is exactly why she does this work.</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EF4EF" w:val="clear"/>
            <w:tcMar>
              <w:top w:type="dxa" w:w="180"/>
              <w:left w:type="dxa" w:w="200"/>
              <w:bottom w:type="dxa" w:w="180"/>
              <w:right w:type="dxa" w:w="120"/>
            </w:tcMar>
          </w:tcPr>
          <w:p>
            <w:pPr>
              <w:spacing w:after="40" w:before="0"/>
            </w:pPr>
            <w:r>
              <w:rPr>
                <w:rFonts w:ascii="Lato" w:cs="Lato" w:eastAsia="Lato" w:hAnsi="Lato"/>
                <w:b/>
                <w:bCs/>
                <w:color w:val="3D6B4F"/>
                <w:sz w:val="44"/>
                <w:szCs w:val="44"/>
              </w:rPr>
              <w:t xml:space="preserve">6+</w:t>
            </w:r>
          </w:p>
          <w:p>
            <w:pPr>
              <w:spacing w:after="0" w:before="0"/>
            </w:pPr>
            <w:r>
              <w:rPr>
                <w:rFonts w:ascii="Lato" w:cs="Lato" w:eastAsia="Lato" w:hAnsi="Lato"/>
                <w:color w:val="6B7C73"/>
                <w:sz w:val="17"/>
                <w:szCs w:val="17"/>
              </w:rPr>
              <w:t xml:space="preserve">Years in marketing &amp; comms</w:t>
            </w:r>
          </w:p>
        </w:tc>
        <w:tc>
          <w:tcPr>
            <w:tcW w:type="dxa" w:w="2340"/>
            <w:tcBorders>
              <w:top w:val="none" w:color="FFFFFF" w:sz="0"/>
              <w:left w:val="none" w:color="FFFFFF" w:sz="0"/>
              <w:bottom w:val="none" w:color="FFFFFF" w:sz="0"/>
              <w:right w:val="none" w:color="FFFFFF" w:sz="0"/>
            </w:tcBorders>
            <w:shd w:fill="EEF4EF" w:val="clear"/>
            <w:tcMar>
              <w:top w:type="dxa" w:w="180"/>
              <w:left w:type="dxa" w:w="200"/>
              <w:bottom w:type="dxa" w:w="180"/>
              <w:right w:type="dxa" w:w="120"/>
            </w:tcMar>
          </w:tcPr>
          <w:p>
            <w:pPr>
              <w:spacing w:after="40" w:before="0"/>
            </w:pPr>
            <w:r>
              <w:rPr>
                <w:rFonts w:ascii="Lato" w:cs="Lato" w:eastAsia="Lato" w:hAnsi="Lato"/>
                <w:b/>
                <w:bCs/>
                <w:color w:val="C2714F"/>
                <w:sz w:val="44"/>
                <w:szCs w:val="44"/>
              </w:rPr>
              <w:t xml:space="preserve">118%</w:t>
            </w:r>
          </w:p>
          <w:p>
            <w:pPr>
              <w:spacing w:after="0" w:before="0"/>
            </w:pPr>
            <w:r>
              <w:rPr>
                <w:rFonts w:ascii="Lato" w:cs="Lato" w:eastAsia="Lato" w:hAnsi="Lato"/>
                <w:color w:val="6B7C73"/>
                <w:sz w:val="17"/>
                <w:szCs w:val="17"/>
              </w:rPr>
              <w:t xml:space="preserve">LinkedIn growth delivered</w:t>
            </w:r>
          </w:p>
        </w:tc>
        <w:tc>
          <w:tcPr>
            <w:tcW w:type="dxa" w:w="2340"/>
            <w:tcBorders>
              <w:top w:val="none" w:color="FFFFFF" w:sz="0"/>
              <w:left w:val="none" w:color="FFFFFF" w:sz="0"/>
              <w:bottom w:val="none" w:color="FFFFFF" w:sz="0"/>
              <w:right w:val="none" w:color="FFFFFF" w:sz="0"/>
            </w:tcBorders>
            <w:shd w:fill="EEF4EF" w:val="clear"/>
            <w:tcMar>
              <w:top w:type="dxa" w:w="180"/>
              <w:left w:type="dxa" w:w="200"/>
              <w:bottom w:type="dxa" w:w="180"/>
              <w:right w:type="dxa" w:w="120"/>
            </w:tcMar>
          </w:tcPr>
          <w:p>
            <w:pPr>
              <w:spacing w:after="40" w:before="0"/>
            </w:pPr>
            <w:r>
              <w:rPr>
                <w:rFonts w:ascii="Lato" w:cs="Lato" w:eastAsia="Lato" w:hAnsi="Lato"/>
                <w:b/>
                <w:bCs/>
                <w:color w:val="3D6B4F"/>
                <w:sz w:val="44"/>
                <w:szCs w:val="44"/>
              </w:rPr>
              <w:t xml:space="preserve">3.97</w:t>
            </w:r>
          </w:p>
          <w:p>
            <w:pPr>
              <w:spacing w:after="0" w:before="0"/>
            </w:pPr>
            <w:r>
              <w:rPr>
                <w:rFonts w:ascii="Lato" w:cs="Lato" w:eastAsia="Lato" w:hAnsi="Lato"/>
                <w:color w:val="6B7C73"/>
                <w:sz w:val="17"/>
                <w:szCs w:val="17"/>
              </w:rPr>
              <w:t xml:space="preserve">Georgetown GPA</w:t>
            </w:r>
          </w:p>
        </w:tc>
        <w:tc>
          <w:tcPr>
            <w:tcW w:type="dxa" w:w="2340"/>
            <w:tcBorders>
              <w:top w:val="none" w:color="FFFFFF" w:sz="0"/>
              <w:left w:val="none" w:color="FFFFFF" w:sz="0"/>
              <w:bottom w:val="none" w:color="FFFFFF" w:sz="0"/>
              <w:right w:val="none" w:color="FFFFFF" w:sz="0"/>
            </w:tcBorders>
            <w:shd w:fill="EEF4EF" w:val="clear"/>
            <w:tcMar>
              <w:top w:type="dxa" w:w="180"/>
              <w:left w:type="dxa" w:w="200"/>
              <w:bottom w:type="dxa" w:w="180"/>
              <w:right w:type="dxa" w:w="120"/>
            </w:tcMar>
          </w:tcPr>
          <w:p>
            <w:pPr>
              <w:spacing w:after="40" w:before="0"/>
            </w:pPr>
            <w:r>
              <w:rPr>
                <w:rFonts w:ascii="Lato" w:cs="Lato" w:eastAsia="Lato" w:hAnsi="Lato"/>
                <w:b/>
                <w:bCs/>
                <w:color w:val="C2714F"/>
                <w:sz w:val="44"/>
                <w:szCs w:val="44"/>
              </w:rPr>
              <w:t xml:space="preserve">$6.5K</w:t>
            </w:r>
          </w:p>
          <w:p>
            <w:pPr>
              <w:spacing w:after="0" w:before="0"/>
            </w:pPr>
            <w:r>
              <w:rPr>
                <w:rFonts w:ascii="Lato" w:cs="Lato" w:eastAsia="Lato" w:hAnsi="Lato"/>
                <w:color w:val="6B7C73"/>
                <w:sz w:val="17"/>
                <w:szCs w:val="17"/>
              </w:rPr>
              <w:t xml:space="preserve">Pitch competition won</w:t>
            </w:r>
          </w:p>
        </w:tc>
      </w:tr>
    </w:tbl>
    <w:p>
      <w:pPr>
        <w:spacing w:after="0" w:before="200"/>
      </w:pPr>
      <w:r>
        <w:t xml:space="preserve"/>
      </w:r>
    </w:p>
    <w:p>
      <w:pPr>
        <w:spacing w:after="0" w:before="0"/>
      </w:pPr>
      <w:r>
        <w:rPr>
          <w:rFonts w:ascii="Lato" w:cs="Lato" w:eastAsia="Lato" w:hAnsi="Lato"/>
          <w:i/>
          <w:iCs/>
          <w:color w:val="6B7C73"/>
          <w:sz w:val="18"/>
          <w:szCs w:val="18"/>
        </w:rPr>
        <w:t xml:space="preserve">Washington D.C.  •  Bangalore, India  •  April 2026</w:t>
      </w:r>
    </w:p>
    <w:p>
      <w:pPr>
        <w:spacing w:after="0" w:before="0"/>
      </w:pPr>
      <w:r>
        <w:br/>
      </w:r>
    </w:p>
    <w:p>
      <w:pPr>
        <w:pBdr>
          <w:bottom w:val="single" w:color="3D6B4F" w:sz="8" w:space="6"/>
        </w:pBdr>
        <w:spacing w:after="160" w:before="480"/>
      </w:pPr>
      <w:r>
        <w:rPr>
          <w:rFonts w:ascii="Lato" w:cs="Lato" w:eastAsia="Lato" w:hAnsi="Lato"/>
          <w:b/>
          <w:bCs/>
          <w:color w:val="2C3E35"/>
          <w:sz w:val="38"/>
          <w:szCs w:val="38"/>
        </w:rPr>
        <w:t xml:space="preserve">01  The Founder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D6B4F" w:sz="28"/>
              <w:bottom w:val="none" w:color="FFFFFF" w:sz="0"/>
              <w:right w:val="none" w:color="FFFFFF" w:sz="0"/>
            </w:tcBorders>
            <w:shd w:fill="EEF4EF" w:val="clear"/>
            <w:tcMar>
              <w:top w:type="dxa" w:w="180"/>
              <w:left w:type="dxa" w:w="280"/>
              <w:bottom w:type="dxa" w:w="180"/>
              <w:right w:type="dxa" w:w="200"/>
            </w:tcMar>
          </w:tcPr>
          <w:p>
            <w:r>
              <w:rPr>
                <w:rFonts w:ascii="Lato" w:cs="Lato" w:eastAsia="Lato" w:hAnsi="Lato"/>
                <w:i/>
                <w:iCs/>
                <w:color w:val="2C3E35"/>
                <w:sz w:val="23"/>
                <w:szCs w:val="23"/>
              </w:rPr>
              <w:t xml:space="preserve">This section exists because no purpose-driven client should work with Riya without understanding where she comes from. It is her most important credential.</w:t>
            </w:r>
          </w:p>
        </w:tc>
      </w:tr>
    </w:tbl>
    <w:p>
      <w:pPr>
        <w:spacing w:after="0" w:before="160"/>
      </w:pPr>
      <w:r>
        <w:t xml:space="preserve"/>
      </w:r>
    </w:p>
    <w:p>
      <w:pPr>
        <w:spacing w:after="100" w:before="280"/>
      </w:pPr>
      <w:r>
        <w:rPr>
          <w:rFonts w:ascii="Lato" w:cs="Lato" w:eastAsia="Lato" w:hAnsi="Lato"/>
          <w:b/>
          <w:bCs/>
          <w:color w:val="3D6B4F"/>
          <w:sz w:val="26"/>
          <w:szCs w:val="26"/>
        </w:rPr>
        <w:t xml:space="preserve">Act One: Asked to Leave</w:t>
      </w:r>
    </w:p>
    <w:p>
      <w:pPr>
        <w:spacing w:after="80" w:before="80"/>
      </w:pPr>
      <w:r>
        <w:rPr>
          <w:rFonts w:ascii="Lato" w:cs="Lato" w:eastAsia="Lato" w:hAnsi="Lato"/>
          <w:color w:val="2C3E35"/>
          <w:sz w:val="22"/>
          <w:szCs w:val="22"/>
        </w:rPr>
        <w:t xml:space="preserve">Riya was asked to drop out of high school because of her reading difficulties. Not because she wasn't intelligent — but because the system didn't have the tools to support the way her mind worked. She spent years navigating a world built for a different kind of learner, without knowing why things felt so much harder than they looked.</w:t>
      </w:r>
    </w:p>
    <w:p>
      <w:pPr>
        <w:spacing w:after="0" w:before="80"/>
      </w:pPr>
      <w:r>
        <w:t xml:space="preserve"/>
      </w:r>
    </w:p>
    <w:p>
      <w:pPr>
        <w:spacing w:after="100" w:before="280"/>
      </w:pPr>
      <w:r>
        <w:rPr>
          <w:rFonts w:ascii="Lato" w:cs="Lato" w:eastAsia="Lato" w:hAnsi="Lato"/>
          <w:b/>
          <w:bCs/>
          <w:color w:val="3D6B4F"/>
          <w:sz w:val="26"/>
          <w:szCs w:val="26"/>
        </w:rPr>
        <w:t xml:space="preserve">Act Two: The Diagnosis That Changed Everything</w:t>
      </w:r>
    </w:p>
    <w:p>
      <w:pPr>
        <w:spacing w:after="80" w:before="80"/>
      </w:pPr>
      <w:r>
        <w:rPr>
          <w:rFonts w:ascii="Lato" w:cs="Lato" w:eastAsia="Lato" w:hAnsi="Lato"/>
          <w:color w:val="2C3E35"/>
          <w:sz w:val="22"/>
          <w:szCs w:val="22"/>
        </w:rPr>
        <w:t xml:space="preserve">In 2019, Riya was diagnosed with dyslexia. She was 21. The diagnosis didn't feel like a limitation — it felt like a key. It explained her struggles, but more importantly, it pointed toward a purpose: if she had spent her whole life without the right support, how many others were still waiting for it?</w:t>
      </w:r>
    </w:p>
    <w:p>
      <w:pPr>
        <w:spacing w:after="0" w:before="80"/>
      </w:pPr>
      <w:r>
        <w:t xml:space="preserve"/>
      </w:r>
    </w:p>
    <w:p>
      <w:pPr>
        <w:spacing w:after="80" w:before="80"/>
      </w:pPr>
      <w:r>
        <w:rPr>
          <w:rFonts w:ascii="Lato" w:cs="Lato" w:eastAsia="Lato" w:hAnsi="Lato"/>
          <w:color w:val="2C3E35"/>
          <w:sz w:val="22"/>
          <w:szCs w:val="22"/>
        </w:rPr>
        <w:t xml:space="preserve">She didn't slow down. She enrolled in a Master's programme at Georgetown University, studying Communication, Culture, and Technology. She graduated with a 3.97 GPA and was nominated for the Exceptional Master's Student Award. She didn't just survive — she led.</w:t>
      </w:r>
    </w:p>
    <w:p>
      <w:pPr>
        <w:spacing w:after="0" w:before="80"/>
      </w:pPr>
      <w:r>
        <w:t xml:space="preserve"/>
      </w:r>
    </w:p>
    <w:p>
      <w:pPr>
        <w:spacing w:after="100" w:before="280"/>
      </w:pPr>
      <w:r>
        <w:rPr>
          <w:rFonts w:ascii="Lato" w:cs="Lato" w:eastAsia="Lato" w:hAnsi="Lato"/>
          <w:b/>
          <w:bCs/>
          <w:color w:val="3D6B4F"/>
          <w:sz w:val="26"/>
          <w:szCs w:val="26"/>
        </w:rPr>
        <w:t xml:space="preserve">Act Three: Building the Answer</w:t>
      </w:r>
    </w:p>
    <w:p>
      <w:pPr>
        <w:spacing w:after="80" w:before="80"/>
      </w:pPr>
      <w:r>
        <w:rPr>
          <w:rFonts w:ascii="Lato" w:cs="Lato" w:eastAsia="Lato" w:hAnsi="Lato"/>
          <w:color w:val="2C3E35"/>
          <w:sz w:val="22"/>
          <w:szCs w:val="22"/>
        </w:rPr>
        <w:t xml:space="preserve">Riya founded Dyslex-Aid — an AI-powered, personalised reading intervention tool built using OpenAI, designed specifically to support dyslexic learners through accessible, research-informed reading experiences. She didn't hire a team and advise from a distance. She built it herself, informed by user research and lived experience.</w:t>
      </w:r>
    </w:p>
    <w:p>
      <w:pPr>
        <w:spacing w:after="0" w:before="60"/>
      </w:pPr>
      <w:r>
        <w:t xml:space="preserve"/>
      </w:r>
    </w:p>
    <w:p>
      <w:pPr>
        <w:pStyle w:val="ListParagraph"/>
        <w:numPr>
          <w:ilvl w:val="0"/>
          <w:numId w:val="2"/>
        </w:numPr>
        <w:spacing w:after="60" w:before="60"/>
      </w:pPr>
      <w:r>
        <w:rPr>
          <w:rFonts w:ascii="Lato" w:cs="Lato" w:eastAsia="Lato" w:hAnsi="Lato"/>
          <w:b w:val="false"/>
          <w:bCs w:val="false"/>
          <w:color w:val="2C3E35"/>
          <w:sz w:val="22"/>
          <w:szCs w:val="22"/>
        </w:rPr>
        <w:t xml:space="preserve">Won $6,500 at the Global Pitch Competition</w:t>
      </w:r>
    </w:p>
    <w:p>
      <w:pPr>
        <w:pStyle w:val="ListParagraph"/>
        <w:numPr>
          <w:ilvl w:val="0"/>
          <w:numId w:val="2"/>
        </w:numPr>
        <w:spacing w:after="60" w:before="60"/>
      </w:pPr>
      <w:r>
        <w:rPr>
          <w:rFonts w:ascii="Lato" w:cs="Lato" w:eastAsia="Lato" w:hAnsi="Lato"/>
          <w:b w:val="false"/>
          <w:bCs w:val="false"/>
          <w:color w:val="2C3E35"/>
          <w:sz w:val="22"/>
          <w:szCs w:val="22"/>
        </w:rPr>
        <w:t xml:space="preserve">Piloted the tool in 2 real K-12 school classrooms</w:t>
      </w:r>
    </w:p>
    <w:p>
      <w:pPr>
        <w:pStyle w:val="ListParagraph"/>
        <w:numPr>
          <w:ilvl w:val="0"/>
          <w:numId w:val="2"/>
        </w:numPr>
        <w:spacing w:after="60" w:before="60"/>
      </w:pPr>
      <w:r>
        <w:rPr>
          <w:rFonts w:ascii="Lato" w:cs="Lato" w:eastAsia="Lato" w:hAnsi="Lato"/>
          <w:b w:val="false"/>
          <w:bCs w:val="false"/>
          <w:color w:val="2C3E35"/>
          <w:sz w:val="22"/>
          <w:szCs w:val="22"/>
        </w:rPr>
        <w:t xml:space="preserve">Led all stakeholder outreach, branding, pricing, and GTM strategy</w:t>
      </w:r>
    </w:p>
    <w:p>
      <w:pPr>
        <w:pStyle w:val="ListParagraph"/>
        <w:numPr>
          <w:ilvl w:val="0"/>
          <w:numId w:val="2"/>
        </w:numPr>
        <w:spacing w:after="60" w:before="60"/>
      </w:pPr>
      <w:r>
        <w:rPr>
          <w:rFonts w:ascii="Lato" w:cs="Lato" w:eastAsia="Lato" w:hAnsi="Lato"/>
          <w:b w:val="false"/>
          <w:bCs w:val="false"/>
          <w:color w:val="2C3E35"/>
          <w:sz w:val="22"/>
          <w:szCs w:val="22"/>
        </w:rPr>
        <w:t xml:space="preserve">Built and launched the platform at dyselx-aid.com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14F" w:sz="28"/>
              <w:bottom w:val="none" w:color="FFFFFF" w:sz="0"/>
              <w:right w:val="none" w:color="FFFFFF" w:sz="0"/>
            </w:tcBorders>
            <w:shd w:fill="FDF0E8" w:val="clear"/>
            <w:tcMar>
              <w:top w:type="dxa" w:w="180"/>
              <w:left w:type="dxa" w:w="280"/>
              <w:bottom w:type="dxa" w:w="180"/>
              <w:right w:type="dxa" w:w="200"/>
            </w:tcMar>
          </w:tcPr>
          <w:p>
            <w:r>
              <w:rPr>
                <w:rFonts w:ascii="Lato" w:cs="Lato" w:eastAsia="Lato" w:hAnsi="Lato"/>
                <w:i/>
                <w:iCs/>
                <w:color w:val="2C3E35"/>
                <w:sz w:val="23"/>
                <w:szCs w:val="23"/>
              </w:rPr>
              <w:t xml:space="preserve">Riya does not advise purpose-driven organisations from the outside looking in. She has been the founder, the pitcher, the person who sat in front of school administrators and made the case for something new. That experience lives in everything she does.</w:t>
            </w:r>
          </w:p>
        </w:tc>
      </w:tr>
    </w:tbl>
    <w:p>
      <w:pPr>
        <w:pBdr>
          <w:bottom w:val="single" w:color="E2DBD0" w:sz="2" w:space="1"/>
        </w:pBdr>
        <w:spacing w:after="280" w:before="280"/>
      </w:pPr>
      <w:r>
        <w:t xml:space="preserve"/>
      </w:r>
    </w:p>
    <w:p>
      <w:pPr>
        <w:pBdr>
          <w:bottom w:val="single" w:color="3D6B4F" w:sz="8" w:space="6"/>
        </w:pBdr>
        <w:spacing w:after="160" w:before="480"/>
      </w:pPr>
      <w:r>
        <w:rPr>
          <w:rFonts w:ascii="Lato" w:cs="Lato" w:eastAsia="Lato" w:hAnsi="Lato"/>
          <w:b/>
          <w:bCs/>
          <w:color w:val="2C3E35"/>
          <w:sz w:val="38"/>
          <w:szCs w:val="38"/>
        </w:rPr>
        <w:t xml:space="preserve">02  Brand Overview</w:t>
      </w:r>
    </w:p>
    <w:p>
      <w:pPr>
        <w:spacing w:after="100" w:before="280"/>
      </w:pPr>
      <w:r>
        <w:rPr>
          <w:rFonts w:ascii="Lato" w:cs="Lato" w:eastAsia="Lato" w:hAnsi="Lato"/>
          <w:b/>
          <w:bCs/>
          <w:color w:val="3D6B4F"/>
          <w:sz w:val="26"/>
          <w:szCs w:val="26"/>
        </w:rPr>
        <w:t xml:space="preserve">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D6B4F" w:sz="28"/>
              <w:bottom w:val="none" w:color="FFFFFF" w:sz="0"/>
              <w:right w:val="none" w:color="FFFFFF" w:sz="0"/>
            </w:tcBorders>
            <w:shd w:fill="EEF4EF" w:val="clear"/>
            <w:tcMar>
              <w:top w:type="dxa" w:w="180"/>
              <w:left w:type="dxa" w:w="280"/>
              <w:bottom w:type="dxa" w:w="180"/>
              <w:right w:type="dxa" w:w="200"/>
            </w:tcMar>
          </w:tcPr>
          <w:p>
            <w:r>
              <w:rPr>
                <w:rFonts w:ascii="Lato" w:cs="Lato" w:eastAsia="Lato" w:hAnsi="Lato"/>
                <w:i/>
                <w:iCs/>
                <w:color w:val="2C3E35"/>
                <w:sz w:val="23"/>
                <w:szCs w:val="23"/>
              </w:rPr>
              <w:t xml:space="preserve">To help purpose-driven brands find the story only they can tell — and build the audience that was always waiting to hear it.</w:t>
            </w:r>
          </w:p>
        </w:tc>
      </w:tr>
    </w:tbl>
    <w:p>
      <w:pPr>
        <w:spacing w:after="0" w:before="160"/>
      </w:pPr>
      <w:r>
        <w:t xml:space="preserve"/>
      </w:r>
    </w:p>
    <w:p>
      <w:pPr>
        <w:spacing w:after="100" w:before="280"/>
      </w:pPr>
      <w:r>
        <w:rPr>
          <w:rFonts w:ascii="Lato" w:cs="Lato" w:eastAsia="Lato" w:hAnsi="Lato"/>
          <w:b/>
          <w:bCs/>
          <w:color w:val="3D6B4F"/>
          <w:sz w:val="26"/>
          <w:szCs w:val="26"/>
        </w:rPr>
        <w:t xml:space="preserve">What Makes Riya Different</w:t>
      </w:r>
    </w:p>
    <w:p>
      <w:pPr>
        <w:spacing w:after="80" w:before="80"/>
      </w:pPr>
      <w:r>
        <w:rPr>
          <w:rFonts w:ascii="Lato" w:cs="Lato" w:eastAsia="Lato" w:hAnsi="Lato"/>
          <w:color w:val="2C3E35"/>
          <w:sz w:val="22"/>
          <w:szCs w:val="22"/>
        </w:rPr>
        <w:t xml:space="preserve">Most marketing consultants come from agency or corporate backgrounds. Riya brings something rarer: she has been the target user of the kind of work she now leads. She understands what it means to be underserved by a system — and she knows how to build communications that actually reach the people who need them most.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Lived experience</w:t>
            </w:r>
          </w:p>
        </w:tc>
        <w:tc>
          <w:tcPr>
            <w:tcW w:type="dxa" w:w="67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Not a bystander to the impact sector — a product of it. Built AI tools for learners like herself.</w:t>
            </w:r>
          </w:p>
        </w:tc>
      </w:tr>
      <w:tr>
        <w:tc>
          <w:tcPr>
            <w:tcW w:type="dxa" w:w="260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b/>
                <w:bCs/>
                <w:color w:val="3D6B4F"/>
                <w:sz w:val="20"/>
                <w:szCs w:val="20"/>
              </w:rPr>
              <w:t xml:space="preserve">Georgetown-trained</w:t>
            </w:r>
          </w:p>
        </w:tc>
        <w:tc>
          <w:tcPr>
            <w:tcW w:type="dxa" w:w="6760"/>
            <w:tcBorders>
              <w:top w:val="single" w:color="D9D4CA" w:sz="1"/>
              <w:left w:val="single" w:color="D9D4CA" w:sz="1"/>
              <w:bottom w:val="single" w:color="D9D4CA" w:sz="1"/>
              <w:right w:val="single" w:color="D9D4CA" w:sz="1"/>
            </w:tcBorders>
            <w:shd w:fill="FAFAF7" w:val="clear"/>
            <w:tcMar>
              <w:top w:type="dxa" w:w="100"/>
              <w:left w:type="dxa" w:w="160"/>
              <w:bottom w:type="dxa" w:w="100"/>
              <w:right w:type="dxa" w:w="120"/>
            </w:tcMar>
          </w:tcPr>
          <w:p>
            <w:r>
              <w:rPr>
                <w:rFonts w:ascii="Lato" w:cs="Lato" w:eastAsia="Lato" w:hAnsi="Lato"/>
                <w:color w:val="2C3E35"/>
                <w:sz w:val="20"/>
                <w:szCs w:val="20"/>
              </w:rPr>
              <w:t xml:space="preserve">MA in Communication, Culture &amp; Technology. 3.97 GPA. Nominated for Exceptional Student Award.</w:t>
            </w:r>
          </w:p>
        </w:tc>
      </w:tr>
      <w:tr>
        <w:tc>
          <w:tcPr>
            <w:tcW w:type="dxa" w:w="26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Data + story</w:t>
            </w:r>
          </w:p>
        </w:tc>
        <w:tc>
          <w:tcPr>
            <w:tcW w:type="dxa" w:w="67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Rare combination: she tracks metrics like a growth marketer and writes like a storyteller.</w:t>
            </w:r>
          </w:p>
        </w:tc>
      </w:tr>
      <w:tr>
        <w:tc>
          <w:tcPr>
            <w:tcW w:type="dxa" w:w="260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b/>
                <w:bCs/>
                <w:color w:val="3D6B4F"/>
                <w:sz w:val="20"/>
                <w:szCs w:val="20"/>
              </w:rPr>
              <w:t xml:space="preserve">Founder mindset</w:t>
            </w:r>
          </w:p>
        </w:tc>
        <w:tc>
          <w:tcPr>
            <w:tcW w:type="dxa" w:w="6760"/>
            <w:tcBorders>
              <w:top w:val="single" w:color="D9D4CA" w:sz="1"/>
              <w:left w:val="single" w:color="D9D4CA" w:sz="1"/>
              <w:bottom w:val="single" w:color="D9D4CA" w:sz="1"/>
              <w:right w:val="single" w:color="D9D4CA" w:sz="1"/>
            </w:tcBorders>
            <w:shd w:fill="FAFAF7" w:val="clear"/>
            <w:tcMar>
              <w:top w:type="dxa" w:w="100"/>
              <w:left w:type="dxa" w:w="160"/>
              <w:bottom w:type="dxa" w:w="100"/>
              <w:right w:type="dxa" w:w="120"/>
            </w:tcMar>
          </w:tcPr>
          <w:p>
            <w:r>
              <w:rPr>
                <w:rFonts w:ascii="Lato" w:cs="Lato" w:eastAsia="Lato" w:hAnsi="Lato"/>
                <w:color w:val="2C3E35"/>
                <w:sz w:val="20"/>
                <w:szCs w:val="20"/>
              </w:rPr>
              <w:t xml:space="preserve">Has built, pitched, and piloted her own venture. Understands the pressure clients are under.</w:t>
            </w:r>
          </w:p>
        </w:tc>
      </w:tr>
      <w:tr>
        <w:tc>
          <w:tcPr>
            <w:tcW w:type="dxa" w:w="26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Cross-cultural reach</w:t>
            </w:r>
          </w:p>
        </w:tc>
        <w:tc>
          <w:tcPr>
            <w:tcW w:type="dxa" w:w="67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Operates across Washington D.C. and Bangalore — valuable for globally-minded organisations.</w:t>
            </w:r>
          </w:p>
        </w:tc>
      </w:tr>
    </w:tbl>
    <w:p>
      <w:pPr>
        <w:spacing w:after="0" w:before="160"/>
      </w:pPr>
      <w:r>
        <w:t xml:space="preserve"/>
      </w:r>
    </w:p>
    <w:p>
      <w:pPr>
        <w:spacing w:after="100" w:before="280"/>
      </w:pPr>
      <w:r>
        <w:rPr>
          <w:rFonts w:ascii="Lato" w:cs="Lato" w:eastAsia="Lato" w:hAnsi="Lato"/>
          <w:b/>
          <w:bCs/>
          <w:color w:val="3D6B4F"/>
          <w:sz w:val="26"/>
          <w:szCs w:val="26"/>
        </w:rPr>
        <w:t xml:space="preserve">Brand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Creative</w:t>
            </w:r>
          </w:p>
        </w:tc>
        <w:tc>
          <w:tcPr>
            <w:tcW w:type="dxa" w:w="67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Brings narrative instinct and fresh ideas — never generic, never templated.</w:t>
            </w:r>
          </w:p>
        </w:tc>
      </w:tr>
      <w:tr>
        <w:tc>
          <w:tcPr>
            <w:tcW w:type="dxa" w:w="260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b/>
                <w:bCs/>
                <w:color w:val="3D6B4F"/>
                <w:sz w:val="20"/>
                <w:szCs w:val="20"/>
              </w:rPr>
              <w:t xml:space="preserve">Professional</w:t>
            </w:r>
          </w:p>
        </w:tc>
        <w:tc>
          <w:tcPr>
            <w:tcW w:type="dxa" w:w="6760"/>
            <w:tcBorders>
              <w:top w:val="single" w:color="D9D4CA" w:sz="1"/>
              <w:left w:val="single" w:color="D9D4CA" w:sz="1"/>
              <w:bottom w:val="single" w:color="D9D4CA" w:sz="1"/>
              <w:right w:val="single" w:color="D9D4CA" w:sz="1"/>
            </w:tcBorders>
            <w:shd w:fill="FAFAF7" w:val="clear"/>
            <w:tcMar>
              <w:top w:type="dxa" w:w="100"/>
              <w:left w:type="dxa" w:w="160"/>
              <w:bottom w:type="dxa" w:w="100"/>
              <w:right w:type="dxa" w:w="120"/>
            </w:tcMar>
          </w:tcPr>
          <w:p>
            <w:r>
              <w:rPr>
                <w:rFonts w:ascii="Lato" w:cs="Lato" w:eastAsia="Lato" w:hAnsi="Lato"/>
                <w:color w:val="2C3E35"/>
                <w:sz w:val="20"/>
                <w:szCs w:val="20"/>
              </w:rPr>
              <w:t xml:space="preserve">Delivers with rigour. Clients trust her with sensitive, high-stakes communications.</w:t>
            </w:r>
          </w:p>
        </w:tc>
      </w:tr>
      <w:tr>
        <w:tc>
          <w:tcPr>
            <w:tcW w:type="dxa" w:w="26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Trustworthy</w:t>
            </w:r>
          </w:p>
        </w:tc>
        <w:tc>
          <w:tcPr>
            <w:tcW w:type="dxa" w:w="67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Transparent about process and limitations. Long-term partnerships over quick wins.</w:t>
            </w:r>
          </w:p>
        </w:tc>
      </w:tr>
      <w:tr>
        <w:tc>
          <w:tcPr>
            <w:tcW w:type="dxa" w:w="260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b/>
                <w:bCs/>
                <w:color w:val="3D6B4F"/>
                <w:sz w:val="20"/>
                <w:szCs w:val="20"/>
              </w:rPr>
              <w:t xml:space="preserve">Expressive</w:t>
            </w:r>
          </w:p>
        </w:tc>
        <w:tc>
          <w:tcPr>
            <w:tcW w:type="dxa" w:w="6760"/>
            <w:tcBorders>
              <w:top w:val="single" w:color="D9D4CA" w:sz="1"/>
              <w:left w:val="single" w:color="D9D4CA" w:sz="1"/>
              <w:bottom w:val="single" w:color="D9D4CA" w:sz="1"/>
              <w:right w:val="single" w:color="D9D4CA" w:sz="1"/>
            </w:tcBorders>
            <w:shd w:fill="FAFAF7" w:val="clear"/>
            <w:tcMar>
              <w:top w:type="dxa" w:w="100"/>
              <w:left w:type="dxa" w:w="160"/>
              <w:bottom w:type="dxa" w:w="100"/>
              <w:right w:type="dxa" w:w="120"/>
            </w:tcMar>
          </w:tcPr>
          <w:p>
            <w:r>
              <w:rPr>
                <w:rFonts w:ascii="Lato" w:cs="Lato" w:eastAsia="Lato" w:hAnsi="Lato"/>
                <w:color w:val="2C3E35"/>
                <w:sz w:val="20"/>
                <w:szCs w:val="20"/>
              </w:rPr>
              <w:t xml:space="preserve">Communicates with clarity and warmth — not corporate, not vague.</w:t>
            </w:r>
          </w:p>
        </w:tc>
      </w:tr>
      <w:tr>
        <w:tc>
          <w:tcPr>
            <w:tcW w:type="dxa" w:w="26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Purposeful</w:t>
            </w:r>
          </w:p>
        </w:tc>
        <w:tc>
          <w:tcPr>
            <w:tcW w:type="dxa" w:w="67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Every strategy starts with the mission. Impact is not a marketing angle — it is the point.</w:t>
            </w:r>
          </w:p>
        </w:tc>
      </w:tr>
    </w:tbl>
    <w:p>
      <w:pPr>
        <w:spacing w:after="0" w:before="160"/>
      </w:pPr>
      <w:r>
        <w:t xml:space="preserve"/>
      </w:r>
    </w:p>
    <w:p>
      <w:pPr>
        <w:spacing w:after="100" w:before="280"/>
      </w:pPr>
      <w:r>
        <w:rPr>
          <w:rFonts w:ascii="Lato" w:cs="Lato" w:eastAsia="Lato" w:hAnsi="Lato"/>
          <w:b/>
          <w:bCs/>
          <w:color w:val="3D6B4F"/>
          <w:sz w:val="26"/>
          <w:szCs w:val="26"/>
        </w:rPr>
        <w:t xml:space="preserve">Target Clients</w:t>
      </w:r>
    </w:p>
    <w:p>
      <w:pPr>
        <w:pStyle w:val="ListParagraph"/>
        <w:numPr>
          <w:ilvl w:val="0"/>
          <w:numId w:val="2"/>
        </w:numPr>
        <w:spacing w:after="60" w:before="60"/>
      </w:pPr>
      <w:r>
        <w:rPr>
          <w:rFonts w:ascii="Lato" w:cs="Lato" w:eastAsia="Lato" w:hAnsi="Lato"/>
          <w:b w:val="false"/>
          <w:bCs w:val="false"/>
          <w:color w:val="2C3E35"/>
          <w:sz w:val="22"/>
          <w:szCs w:val="22"/>
        </w:rPr>
        <w:t xml:space="preserve">Nonprofits and social enterprises building donor or community audiences</w:t>
      </w:r>
    </w:p>
    <w:p>
      <w:pPr>
        <w:pStyle w:val="ListParagraph"/>
        <w:numPr>
          <w:ilvl w:val="0"/>
          <w:numId w:val="2"/>
        </w:numPr>
        <w:spacing w:after="60" w:before="60"/>
      </w:pPr>
      <w:r>
        <w:rPr>
          <w:rFonts w:ascii="Lato" w:cs="Lato" w:eastAsia="Lato" w:hAnsi="Lato"/>
          <w:b w:val="false"/>
          <w:bCs w:val="false"/>
          <w:color w:val="2C3E35"/>
          <w:sz w:val="22"/>
          <w:szCs w:val="22"/>
        </w:rPr>
        <w:t xml:space="preserve">Purpose-driven startups needing a brand voice and growth strategy</w:t>
      </w:r>
    </w:p>
    <w:p>
      <w:pPr>
        <w:pStyle w:val="ListParagraph"/>
        <w:numPr>
          <w:ilvl w:val="0"/>
          <w:numId w:val="2"/>
        </w:numPr>
        <w:spacing w:after="60" w:before="60"/>
      </w:pPr>
      <w:r>
        <w:rPr>
          <w:rFonts w:ascii="Lato" w:cs="Lato" w:eastAsia="Lato" w:hAnsi="Lato"/>
          <w:b w:val="false"/>
          <w:bCs w:val="false"/>
          <w:color w:val="2C3E35"/>
          <w:sz w:val="22"/>
          <w:szCs w:val="22"/>
        </w:rPr>
        <w:t xml:space="preserve">Education organisations working in accessibility, equity, and inclusion</w:t>
      </w:r>
    </w:p>
    <w:p>
      <w:pPr>
        <w:pStyle w:val="ListParagraph"/>
        <w:numPr>
          <w:ilvl w:val="0"/>
          <w:numId w:val="2"/>
        </w:numPr>
        <w:spacing w:after="60" w:before="60"/>
      </w:pPr>
      <w:r>
        <w:rPr>
          <w:rFonts w:ascii="Lato" w:cs="Lato" w:eastAsia="Lato" w:hAnsi="Lato"/>
          <w:b w:val="false"/>
          <w:bCs w:val="false"/>
          <w:color w:val="2C3E35"/>
          <w:sz w:val="22"/>
          <w:szCs w:val="22"/>
        </w:rPr>
        <w:t xml:space="preserve">Impact-led founders who care as much about mission as metrics</w:t>
      </w:r>
    </w:p>
    <w:p>
      <w:pPr>
        <w:pStyle w:val="ListParagraph"/>
        <w:numPr>
          <w:ilvl w:val="0"/>
          <w:numId w:val="2"/>
        </w:numPr>
        <w:spacing w:after="60" w:before="60"/>
      </w:pPr>
      <w:r>
        <w:rPr>
          <w:rFonts w:ascii="Lato" w:cs="Lato" w:eastAsia="Lato" w:hAnsi="Lato"/>
          <w:b w:val="false"/>
          <w:bCs w:val="false"/>
          <w:color w:val="2C3E35"/>
          <w:sz w:val="22"/>
          <w:szCs w:val="22"/>
        </w:rPr>
        <w:t xml:space="preserve">Communications teams inside values-driven institutions</w:t>
      </w:r>
    </w:p>
    <w:p>
      <w:pPr>
        <w:pBdr>
          <w:bottom w:val="single" w:color="E2DBD0" w:sz="2" w:space="1"/>
        </w:pBdr>
        <w:spacing w:after="280" w:before="280"/>
      </w:pPr>
      <w:r>
        <w:t xml:space="preserve"/>
      </w:r>
    </w:p>
    <w:p>
      <w:pPr>
        <w:pBdr>
          <w:bottom w:val="single" w:color="3D6B4F" w:sz="8" w:space="6"/>
        </w:pBdr>
        <w:spacing w:after="160" w:before="480"/>
      </w:pPr>
      <w:r>
        <w:rPr>
          <w:rFonts w:ascii="Lato" w:cs="Lato" w:eastAsia="Lato" w:hAnsi="Lato"/>
          <w:b/>
          <w:bCs/>
          <w:color w:val="2C3E35"/>
          <w:sz w:val="38"/>
          <w:szCs w:val="38"/>
        </w:rPr>
        <w:t xml:space="preserve">03  Proof of Impact</w:t>
      </w:r>
    </w:p>
    <w:p>
      <w:pPr>
        <w:spacing w:after="80" w:before="80"/>
      </w:pPr>
      <w:r>
        <w:rPr>
          <w:rFonts w:ascii="Lato" w:cs="Lato" w:eastAsia="Lato" w:hAnsi="Lato"/>
          <w:color w:val="2C3E35"/>
          <w:sz w:val="22"/>
          <w:szCs w:val="22"/>
        </w:rPr>
        <w:t xml:space="preserve">Purpose-driven clients don't just want a consultant with good values — they want someone who can show results. Here is what Riya has actually delivered.</w:t>
      </w:r>
    </w:p>
    <w:p>
      <w:pPr>
        <w:spacing w:after="0" w:before="120"/>
      </w:pPr>
      <w:r>
        <w:t xml:space="preserve"/>
      </w:r>
    </w:p>
    <w:p>
      <w:pPr>
        <w:spacing w:after="100" w:before="280"/>
      </w:pPr>
      <w:r>
        <w:rPr>
          <w:rFonts w:ascii="Lato" w:cs="Lato" w:eastAsia="Lato" w:hAnsi="Lato"/>
          <w:b/>
          <w:bCs/>
          <w:color w:val="3D6B4F"/>
          <w:sz w:val="26"/>
          <w:szCs w:val="26"/>
        </w:rPr>
        <w:t xml:space="preserve">By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EF4EF" w:val="clear"/>
            <w:tcMar>
              <w:top w:type="dxa" w:w="180"/>
              <w:left w:type="dxa" w:w="200"/>
              <w:bottom w:type="dxa" w:w="180"/>
              <w:right w:type="dxa" w:w="120"/>
            </w:tcMar>
          </w:tcPr>
          <w:p>
            <w:pPr>
              <w:spacing w:after="40" w:before="0"/>
            </w:pPr>
            <w:r>
              <w:rPr>
                <w:rFonts w:ascii="Lato" w:cs="Lato" w:eastAsia="Lato" w:hAnsi="Lato"/>
                <w:b/>
                <w:bCs/>
                <w:color w:val="3D6B4F"/>
                <w:sz w:val="44"/>
                <w:szCs w:val="44"/>
              </w:rPr>
              <w:t xml:space="preserve">+118%</w:t>
            </w:r>
          </w:p>
          <w:p>
            <w:pPr>
              <w:spacing w:after="0" w:before="0"/>
            </w:pPr>
            <w:r>
              <w:rPr>
                <w:rFonts w:ascii="Lato" w:cs="Lato" w:eastAsia="Lato" w:hAnsi="Lato"/>
                <w:color w:val="6B7C73"/>
                <w:sz w:val="17"/>
                <w:szCs w:val="17"/>
              </w:rPr>
              <w:t xml:space="preserve">LinkedIn audience growth (Payro Finance)</w:t>
            </w:r>
          </w:p>
        </w:tc>
        <w:tc>
          <w:tcPr>
            <w:tcW w:type="dxa" w:w="2340"/>
            <w:tcBorders>
              <w:top w:val="none" w:color="FFFFFF" w:sz="0"/>
              <w:left w:val="none" w:color="FFFFFF" w:sz="0"/>
              <w:bottom w:val="none" w:color="FFFFFF" w:sz="0"/>
              <w:right w:val="none" w:color="FFFFFF" w:sz="0"/>
            </w:tcBorders>
            <w:shd w:fill="EEF4EF" w:val="clear"/>
            <w:tcMar>
              <w:top w:type="dxa" w:w="180"/>
              <w:left w:type="dxa" w:w="200"/>
              <w:bottom w:type="dxa" w:w="180"/>
              <w:right w:type="dxa" w:w="120"/>
            </w:tcMar>
          </w:tcPr>
          <w:p>
            <w:pPr>
              <w:spacing w:after="40" w:before="0"/>
            </w:pPr>
            <w:r>
              <w:rPr>
                <w:rFonts w:ascii="Lato" w:cs="Lato" w:eastAsia="Lato" w:hAnsi="Lato"/>
                <w:b/>
                <w:bCs/>
                <w:color w:val="C2714F"/>
                <w:sz w:val="44"/>
                <w:szCs w:val="44"/>
              </w:rPr>
              <w:t xml:space="preserve">+40%</w:t>
            </w:r>
          </w:p>
          <w:p>
            <w:pPr>
              <w:spacing w:after="0" w:before="0"/>
            </w:pPr>
            <w:r>
              <w:rPr>
                <w:rFonts w:ascii="Lato" w:cs="Lato" w:eastAsia="Lato" w:hAnsi="Lato"/>
                <w:color w:val="6B7C73"/>
                <w:sz w:val="17"/>
                <w:szCs w:val="17"/>
              </w:rPr>
              <w:t xml:space="preserve">Website traffic lift (Georgetown University)</w:t>
            </w:r>
          </w:p>
        </w:tc>
        <w:tc>
          <w:tcPr>
            <w:tcW w:type="dxa" w:w="2340"/>
            <w:tcBorders>
              <w:top w:val="none" w:color="FFFFFF" w:sz="0"/>
              <w:left w:val="none" w:color="FFFFFF" w:sz="0"/>
              <w:bottom w:val="none" w:color="FFFFFF" w:sz="0"/>
              <w:right w:val="none" w:color="FFFFFF" w:sz="0"/>
            </w:tcBorders>
            <w:shd w:fill="EEF4EF" w:val="clear"/>
            <w:tcMar>
              <w:top w:type="dxa" w:w="180"/>
              <w:left w:type="dxa" w:w="200"/>
              <w:bottom w:type="dxa" w:w="180"/>
              <w:right w:type="dxa" w:w="120"/>
            </w:tcMar>
          </w:tcPr>
          <w:p>
            <w:pPr>
              <w:spacing w:after="40" w:before="0"/>
            </w:pPr>
            <w:r>
              <w:rPr>
                <w:rFonts w:ascii="Lato" w:cs="Lato" w:eastAsia="Lato" w:hAnsi="Lato"/>
                <w:b/>
                <w:bCs/>
                <w:color w:val="3D6B4F"/>
                <w:sz w:val="44"/>
                <w:szCs w:val="44"/>
              </w:rPr>
              <w:t xml:space="preserve">+70%</w:t>
            </w:r>
          </w:p>
          <w:p>
            <w:pPr>
              <w:spacing w:after="0" w:before="0"/>
            </w:pPr>
            <w:r>
              <w:rPr>
                <w:rFonts w:ascii="Lato" w:cs="Lato" w:eastAsia="Lato" w:hAnsi="Lato"/>
                <w:color w:val="6B7C73"/>
                <w:sz w:val="17"/>
                <w:szCs w:val="17"/>
              </w:rPr>
              <w:t xml:space="preserve">Brand visibility growth (Georgetown)</w:t>
            </w:r>
          </w:p>
        </w:tc>
        <w:tc>
          <w:tcPr>
            <w:tcW w:type="dxa" w:w="2340"/>
            <w:tcBorders>
              <w:top w:val="none" w:color="FFFFFF" w:sz="0"/>
              <w:left w:val="none" w:color="FFFFFF" w:sz="0"/>
              <w:bottom w:val="none" w:color="FFFFFF" w:sz="0"/>
              <w:right w:val="none" w:color="FFFFFF" w:sz="0"/>
            </w:tcBorders>
            <w:shd w:fill="EEF4EF" w:val="clear"/>
            <w:tcMar>
              <w:top w:type="dxa" w:w="180"/>
              <w:left w:type="dxa" w:w="200"/>
              <w:bottom w:type="dxa" w:w="180"/>
              <w:right w:type="dxa" w:w="120"/>
            </w:tcMar>
          </w:tcPr>
          <w:p>
            <w:pPr>
              <w:spacing w:after="40" w:before="0"/>
            </w:pPr>
            <w:r>
              <w:rPr>
                <w:rFonts w:ascii="Lato" w:cs="Lato" w:eastAsia="Lato" w:hAnsi="Lato"/>
                <w:b/>
                <w:bCs/>
                <w:color w:val="C2714F"/>
                <w:sz w:val="44"/>
                <w:szCs w:val="44"/>
              </w:rPr>
              <w:t xml:space="preserve">500+</w:t>
            </w:r>
          </w:p>
          <w:p>
            <w:pPr>
              <w:spacing w:after="0" w:before="0"/>
            </w:pPr>
            <w:r>
              <w:rPr>
                <w:rFonts w:ascii="Lato" w:cs="Lato" w:eastAsia="Lato" w:hAnsi="Lato"/>
                <w:color w:val="6B7C73"/>
                <w:sz w:val="17"/>
                <w:szCs w:val="17"/>
              </w:rPr>
              <w:t xml:space="preserve">Students reached per campaign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EF4EF" w:val="clear"/>
            <w:tcMar>
              <w:top w:type="dxa" w:w="180"/>
              <w:left w:type="dxa" w:w="200"/>
              <w:bottom w:type="dxa" w:w="180"/>
              <w:right w:type="dxa" w:w="120"/>
            </w:tcMar>
          </w:tcPr>
          <w:p>
            <w:pPr>
              <w:spacing w:after="40" w:before="0"/>
            </w:pPr>
            <w:r>
              <w:rPr>
                <w:rFonts w:ascii="Lato" w:cs="Lato" w:eastAsia="Lato" w:hAnsi="Lato"/>
                <w:b/>
                <w:bCs/>
                <w:color w:val="3D6B4F"/>
                <w:sz w:val="44"/>
                <w:szCs w:val="44"/>
              </w:rPr>
              <w:t xml:space="preserve">500+</w:t>
            </w:r>
          </w:p>
          <w:p>
            <w:pPr>
              <w:spacing w:after="0" w:before="0"/>
            </w:pPr>
            <w:r>
              <w:rPr>
                <w:rFonts w:ascii="Lato" w:cs="Lato" w:eastAsia="Lato" w:hAnsi="Lato"/>
                <w:color w:val="6B7C73"/>
                <w:sz w:val="17"/>
                <w:szCs w:val="17"/>
              </w:rPr>
              <w:t xml:space="preserve">YouTube videos launched (SellerApp)</w:t>
            </w:r>
          </w:p>
        </w:tc>
        <w:tc>
          <w:tcPr>
            <w:tcW w:type="dxa" w:w="2340"/>
            <w:tcBorders>
              <w:top w:val="none" w:color="FFFFFF" w:sz="0"/>
              <w:left w:val="none" w:color="FFFFFF" w:sz="0"/>
              <w:bottom w:val="none" w:color="FFFFFF" w:sz="0"/>
              <w:right w:val="none" w:color="FFFFFF" w:sz="0"/>
            </w:tcBorders>
            <w:shd w:fill="EEF4EF" w:val="clear"/>
            <w:tcMar>
              <w:top w:type="dxa" w:w="180"/>
              <w:left w:type="dxa" w:w="200"/>
              <w:bottom w:type="dxa" w:w="180"/>
              <w:right w:type="dxa" w:w="120"/>
            </w:tcMar>
          </w:tcPr>
          <w:p>
            <w:pPr>
              <w:spacing w:after="40" w:before="0"/>
            </w:pPr>
            <w:r>
              <w:rPr>
                <w:rFonts w:ascii="Lato" w:cs="Lato" w:eastAsia="Lato" w:hAnsi="Lato"/>
                <w:b/>
                <w:bCs/>
                <w:color w:val="C2714F"/>
                <w:sz w:val="44"/>
                <w:szCs w:val="44"/>
              </w:rPr>
              <w:t xml:space="preserve">15K</w:t>
            </w:r>
          </w:p>
          <w:p>
            <w:pPr>
              <w:spacing w:after="0" w:before="0"/>
            </w:pPr>
            <w:r>
              <w:rPr>
                <w:rFonts w:ascii="Lato" w:cs="Lato" w:eastAsia="Lato" w:hAnsi="Lato"/>
                <w:color w:val="6B7C73"/>
                <w:sz w:val="17"/>
                <w:szCs w:val="17"/>
              </w:rPr>
              <w:t xml:space="preserve">New subscribers grown</w:t>
            </w:r>
          </w:p>
        </w:tc>
        <w:tc>
          <w:tcPr>
            <w:tcW w:type="dxa" w:w="2340"/>
            <w:tcBorders>
              <w:top w:val="none" w:color="FFFFFF" w:sz="0"/>
              <w:left w:val="none" w:color="FFFFFF" w:sz="0"/>
              <w:bottom w:val="none" w:color="FFFFFF" w:sz="0"/>
              <w:right w:val="none" w:color="FFFFFF" w:sz="0"/>
            </w:tcBorders>
            <w:shd w:fill="EEF4EF" w:val="clear"/>
            <w:tcMar>
              <w:top w:type="dxa" w:w="180"/>
              <w:left w:type="dxa" w:w="200"/>
              <w:bottom w:type="dxa" w:w="180"/>
              <w:right w:type="dxa" w:w="120"/>
            </w:tcMar>
          </w:tcPr>
          <w:p>
            <w:pPr>
              <w:spacing w:after="40" w:before="0"/>
            </w:pPr>
            <w:r>
              <w:rPr>
                <w:rFonts w:ascii="Lato" w:cs="Lato" w:eastAsia="Lato" w:hAnsi="Lato"/>
                <w:b/>
                <w:bCs/>
                <w:color w:val="3D6B4F"/>
                <w:sz w:val="44"/>
                <w:szCs w:val="44"/>
              </w:rPr>
              <w:t xml:space="preserve">+30%</w:t>
            </w:r>
          </w:p>
          <w:p>
            <w:pPr>
              <w:spacing w:after="0" w:before="0"/>
            </w:pPr>
            <w:r>
              <w:rPr>
                <w:rFonts w:ascii="Lato" w:cs="Lato" w:eastAsia="Lato" w:hAnsi="Lato"/>
                <w:color w:val="6B7C73"/>
                <w:sz w:val="17"/>
                <w:szCs w:val="17"/>
              </w:rPr>
              <w:t xml:space="preserve">B2B partner engagement (SellerApp)</w:t>
            </w:r>
          </w:p>
        </w:tc>
        <w:tc>
          <w:tcPr>
            <w:tcW w:type="dxa" w:w="2340"/>
            <w:tcBorders>
              <w:top w:val="none" w:color="FFFFFF" w:sz="0"/>
              <w:left w:val="none" w:color="FFFFFF" w:sz="0"/>
              <w:bottom w:val="none" w:color="FFFFFF" w:sz="0"/>
              <w:right w:val="none" w:color="FFFFFF" w:sz="0"/>
            </w:tcBorders>
            <w:shd w:fill="EEF4EF" w:val="clear"/>
            <w:tcMar>
              <w:top w:type="dxa" w:w="180"/>
              <w:left w:type="dxa" w:w="200"/>
              <w:bottom w:type="dxa" w:w="180"/>
              <w:right w:type="dxa" w:w="120"/>
            </w:tcMar>
          </w:tcPr>
          <w:p>
            <w:pPr>
              <w:spacing w:after="40" w:before="0"/>
            </w:pPr>
            <w:r>
              <w:rPr>
                <w:rFonts w:ascii="Lato" w:cs="Lato" w:eastAsia="Lato" w:hAnsi="Lato"/>
                <w:b/>
                <w:bCs/>
                <w:color w:val="C2714F"/>
                <w:sz w:val="44"/>
                <w:szCs w:val="44"/>
              </w:rPr>
              <w:t xml:space="preserve">2</w:t>
            </w:r>
          </w:p>
          <w:p>
            <w:pPr>
              <w:spacing w:after="0" w:before="0"/>
            </w:pPr>
            <w:r>
              <w:rPr>
                <w:rFonts w:ascii="Lato" w:cs="Lato" w:eastAsia="Lato" w:hAnsi="Lato"/>
                <w:color w:val="6B7C73"/>
                <w:sz w:val="17"/>
                <w:szCs w:val="17"/>
              </w:rPr>
              <w:t xml:space="preserve">K-12 schools piloted Dyslex-Aid</w:t>
            </w:r>
          </w:p>
        </w:tc>
      </w:tr>
    </w:tbl>
    <w:p>
      <w:pPr>
        <w:spacing w:after="0" w:before="200"/>
      </w:pPr>
      <w:r>
        <w:t xml:space="preserve"/>
      </w:r>
    </w:p>
    <w:p>
      <w:pPr>
        <w:spacing w:after="100" w:before="280"/>
      </w:pPr>
      <w:r>
        <w:rPr>
          <w:rFonts w:ascii="Lato" w:cs="Lato" w:eastAsia="Lato" w:hAnsi="Lato"/>
          <w:b/>
          <w:bCs/>
          <w:color w:val="3D6B4F"/>
          <w:sz w:val="26"/>
          <w:szCs w:val="26"/>
        </w:rPr>
        <w:t xml:space="preserve">Key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Payro Finance</w:t>
            </w:r>
          </w:p>
        </w:tc>
        <w:tc>
          <w:tcPr>
            <w:tcW w:type="dxa" w:w="71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Built entire marketing infrastructure from scratch. LinkedIn 1,386 → 3,023. Click-to-apply engagement 12 → 161. Introduced full-funnel tracking where none existed.</w:t>
            </w:r>
          </w:p>
        </w:tc>
      </w:tr>
      <w:tr>
        <w:tc>
          <w:tcPr>
            <w:tcW w:type="dxa" w:w="220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b/>
                <w:bCs/>
                <w:color w:val="3D6B4F"/>
                <w:sz w:val="20"/>
                <w:szCs w:val="20"/>
              </w:rPr>
              <w:t xml:space="preserve">Georgetown University</w:t>
            </w:r>
          </w:p>
        </w:tc>
        <w:tc>
          <w:tcPr>
            <w:tcW w:type="dxa" w:w="7160"/>
            <w:tcBorders>
              <w:top w:val="single" w:color="D9D4CA" w:sz="1"/>
              <w:left w:val="single" w:color="D9D4CA" w:sz="1"/>
              <w:bottom w:val="single" w:color="D9D4CA" w:sz="1"/>
              <w:right w:val="single" w:color="D9D4CA" w:sz="1"/>
            </w:tcBorders>
            <w:shd w:fill="FAFAF7" w:val="clear"/>
            <w:tcMar>
              <w:top w:type="dxa" w:w="100"/>
              <w:left w:type="dxa" w:w="160"/>
              <w:bottom w:type="dxa" w:w="100"/>
              <w:right w:type="dxa" w:w="120"/>
            </w:tcMar>
          </w:tcPr>
          <w:p>
            <w:r>
              <w:rPr>
                <w:rFonts w:ascii="Lato" w:cs="Lato" w:eastAsia="Lato" w:hAnsi="Lato"/>
                <w:color w:val="2C3E35"/>
                <w:sz w:val="20"/>
                <w:szCs w:val="20"/>
              </w:rPr>
              <w:t xml:space="preserve">Owned end-to-end brand refresh aligned to DEI standards. 40% traffic lift. 70% growth in brand visibility. Campaigns reached 500+ students per initiative.</w:t>
            </w:r>
          </w:p>
        </w:tc>
      </w:tr>
      <w:tr>
        <w:tc>
          <w:tcPr>
            <w:tcW w:type="dxa" w:w="22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Dyslex-Aid</w:t>
            </w:r>
          </w:p>
        </w:tc>
        <w:tc>
          <w:tcPr>
            <w:tcW w:type="dxa" w:w="71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Founded and launched AI-powered reading tool. Won $6,500 at Global Pitch Competition. Piloted in 2 K-12 schools. Built all brand, GTM, pricing, and pitch strategy.</w:t>
            </w:r>
          </w:p>
        </w:tc>
      </w:tr>
      <w:tr>
        <w:tc>
          <w:tcPr>
            <w:tcW w:type="dxa" w:w="220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b/>
                <w:bCs/>
                <w:color w:val="3D6B4F"/>
                <w:sz w:val="20"/>
                <w:szCs w:val="20"/>
              </w:rPr>
              <w:t xml:space="preserve">Meolaa Lifestyle</w:t>
            </w:r>
          </w:p>
        </w:tc>
        <w:tc>
          <w:tcPr>
            <w:tcW w:type="dxa" w:w="7160"/>
            <w:tcBorders>
              <w:top w:val="single" w:color="D9D4CA" w:sz="1"/>
              <w:left w:val="single" w:color="D9D4CA" w:sz="1"/>
              <w:bottom w:val="single" w:color="D9D4CA" w:sz="1"/>
              <w:right w:val="single" w:color="D9D4CA" w:sz="1"/>
            </w:tcBorders>
            <w:shd w:fill="FAFAF7" w:val="clear"/>
            <w:tcMar>
              <w:top w:type="dxa" w:w="100"/>
              <w:left w:type="dxa" w:w="160"/>
              <w:bottom w:type="dxa" w:w="100"/>
              <w:right w:type="dxa" w:w="120"/>
            </w:tcMar>
          </w:tcPr>
          <w:p>
            <w:r>
              <w:rPr>
                <w:rFonts w:ascii="Lato" w:cs="Lato" w:eastAsia="Lato" w:hAnsi="Lato"/>
                <w:color w:val="2C3E35"/>
                <w:sz w:val="20"/>
                <w:szCs w:val="20"/>
              </w:rPr>
              <w:t xml:space="preserve">Managed brand content for 800+ partners. Created 16-episode video podcast across 3 platforms. Developed full company brand book.</w:t>
            </w:r>
          </w:p>
        </w:tc>
      </w:tr>
      <w:tr>
        <w:tc>
          <w:tcPr>
            <w:tcW w:type="dxa" w:w="22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SellerApp</w:t>
            </w:r>
          </w:p>
        </w:tc>
        <w:tc>
          <w:tcPr>
            <w:tcW w:type="dxa" w:w="71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500+ YouTube videos. 15K new subscribers. 40% increase in trial sign-ups. +30% B2B partner engagement and conversions.</w:t>
            </w:r>
          </w:p>
        </w:tc>
      </w:tr>
    </w:tbl>
    <w:p>
      <w:pPr>
        <w:pBdr>
          <w:bottom w:val="single" w:color="E2DBD0" w:sz="2" w:space="1"/>
        </w:pBdr>
        <w:spacing w:after="280" w:before="280"/>
      </w:pPr>
      <w:r>
        <w:t xml:space="preserve"/>
      </w:r>
    </w:p>
    <w:p>
      <w:pPr>
        <w:pBdr>
          <w:bottom w:val="single" w:color="3D6B4F" w:sz="8" w:space="6"/>
        </w:pBdr>
        <w:spacing w:after="160" w:before="480"/>
      </w:pPr>
      <w:r>
        <w:rPr>
          <w:rFonts w:ascii="Lato" w:cs="Lato" w:eastAsia="Lato" w:hAnsi="Lato"/>
          <w:b/>
          <w:bCs/>
          <w:color w:val="2C3E35"/>
          <w:sz w:val="38"/>
          <w:szCs w:val="38"/>
        </w:rPr>
        <w:t xml:space="preserve">04  Brand Voice &amp; Tone</w:t>
      </w:r>
    </w:p>
    <w:p>
      <w:pPr>
        <w:spacing w:after="80" w:before="80"/>
      </w:pPr>
      <w:r>
        <w:rPr>
          <w:rFonts w:ascii="Lato" w:cs="Lato" w:eastAsia="Lato" w:hAnsi="Lato"/>
          <w:color w:val="2C3E35"/>
          <w:sz w:val="22"/>
          <w:szCs w:val="22"/>
        </w:rPr>
        <w:t xml:space="preserve">Riya's voice is precise and human — data-backed but never cold. She writes the way a trusted senior colleague would speak: specific, warm, and always with a clear point of view.</w:t>
      </w:r>
    </w:p>
    <w:p>
      <w:pPr>
        <w:spacing w:after="0" w:before="120"/>
      </w:pPr>
      <w:r>
        <w:t xml:space="preserve"/>
      </w:r>
    </w:p>
    <w:p>
      <w:pPr>
        <w:spacing w:after="100" w:before="280"/>
      </w:pPr>
      <w:r>
        <w:rPr>
          <w:rFonts w:ascii="Lato" w:cs="Lato" w:eastAsia="Lato" w:hAnsi="Lato"/>
          <w:b/>
          <w:bCs/>
          <w:color w:val="3D6B4F"/>
          <w:sz w:val="26"/>
          <w:szCs w:val="26"/>
        </w:rPr>
        <w:t xml:space="preserve">Voice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Specific</w:t>
            </w:r>
          </w:p>
        </w:tc>
        <w:tc>
          <w:tcPr>
            <w:tcW w:type="dxa" w:w="67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Uses numbers, examples, and concrete details. Never vague or aspirational without evidence.</w:t>
            </w:r>
          </w:p>
        </w:tc>
      </w:tr>
      <w:tr>
        <w:tc>
          <w:tcPr>
            <w:tcW w:type="dxa" w:w="260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b/>
                <w:bCs/>
                <w:color w:val="3D6B4F"/>
                <w:sz w:val="20"/>
                <w:szCs w:val="20"/>
              </w:rPr>
              <w:t xml:space="preserve">Warm</w:t>
            </w:r>
          </w:p>
        </w:tc>
        <w:tc>
          <w:tcPr>
            <w:tcW w:type="dxa" w:w="6760"/>
            <w:tcBorders>
              <w:top w:val="single" w:color="D9D4CA" w:sz="1"/>
              <w:left w:val="single" w:color="D9D4CA" w:sz="1"/>
              <w:bottom w:val="single" w:color="D9D4CA" w:sz="1"/>
              <w:right w:val="single" w:color="D9D4CA" w:sz="1"/>
            </w:tcBorders>
            <w:shd w:fill="FAFAF7" w:val="clear"/>
            <w:tcMar>
              <w:top w:type="dxa" w:w="100"/>
              <w:left w:type="dxa" w:w="160"/>
              <w:bottom w:type="dxa" w:w="100"/>
              <w:right w:type="dxa" w:w="120"/>
            </w:tcMar>
          </w:tcPr>
          <w:p>
            <w:r>
              <w:rPr>
                <w:rFonts w:ascii="Lato" w:cs="Lato" w:eastAsia="Lato" w:hAnsi="Lato"/>
                <w:color w:val="2C3E35"/>
                <w:sz w:val="20"/>
                <w:szCs w:val="20"/>
              </w:rPr>
              <w:t xml:space="preserve">Speaks to the person, not the institution. First person. Direct without being blunt.</w:t>
            </w:r>
          </w:p>
        </w:tc>
      </w:tr>
      <w:tr>
        <w:tc>
          <w:tcPr>
            <w:tcW w:type="dxa" w:w="26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Purposeful</w:t>
            </w:r>
          </w:p>
        </w:tc>
        <w:tc>
          <w:tcPr>
            <w:tcW w:type="dxa" w:w="67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Every sentence earns its place. No filler. No performative urgency.</w:t>
            </w:r>
          </w:p>
        </w:tc>
      </w:tr>
      <w:tr>
        <w:tc>
          <w:tcPr>
            <w:tcW w:type="dxa" w:w="260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b/>
                <w:bCs/>
                <w:color w:val="3D6B4F"/>
                <w:sz w:val="20"/>
                <w:szCs w:val="20"/>
              </w:rPr>
              <w:t xml:space="preserve">Honest</w:t>
            </w:r>
          </w:p>
        </w:tc>
        <w:tc>
          <w:tcPr>
            <w:tcW w:type="dxa" w:w="6760"/>
            <w:tcBorders>
              <w:top w:val="single" w:color="D9D4CA" w:sz="1"/>
              <w:left w:val="single" w:color="D9D4CA" w:sz="1"/>
              <w:bottom w:val="single" w:color="D9D4CA" w:sz="1"/>
              <w:right w:val="single" w:color="D9D4CA" w:sz="1"/>
            </w:tcBorders>
            <w:shd w:fill="FAFAF7" w:val="clear"/>
            <w:tcMar>
              <w:top w:type="dxa" w:w="100"/>
              <w:left w:type="dxa" w:w="160"/>
              <w:bottom w:type="dxa" w:w="100"/>
              <w:right w:type="dxa" w:w="120"/>
            </w:tcMar>
          </w:tcPr>
          <w:p>
            <w:r>
              <w:rPr>
                <w:rFonts w:ascii="Lato" w:cs="Lato" w:eastAsia="Lato" w:hAnsi="Lato"/>
                <w:color w:val="2C3E35"/>
                <w:sz w:val="20"/>
                <w:szCs w:val="20"/>
              </w:rPr>
              <w:t xml:space="preserve">Shares real perspective. Willing to say what isn't working — that is what builds trust.</w:t>
            </w:r>
          </w:p>
        </w:tc>
      </w:tr>
      <w:tr>
        <w:tc>
          <w:tcPr>
            <w:tcW w:type="dxa" w:w="26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Grounded</w:t>
            </w:r>
          </w:p>
        </w:tc>
        <w:tc>
          <w:tcPr>
            <w:tcW w:type="dxa" w:w="67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Credibility comes from experience, not credentials alone. The story matters more than the title.</w:t>
            </w:r>
          </w:p>
        </w:tc>
      </w:tr>
    </w:tbl>
    <w:p>
      <w:pPr>
        <w:spacing w:after="0" w:before="160"/>
      </w:pPr>
      <w:r>
        <w:t xml:space="preserve"/>
      </w:r>
    </w:p>
    <w:p>
      <w:pPr>
        <w:spacing w:after="100" w:before="280"/>
      </w:pPr>
      <w:r>
        <w:rPr>
          <w:rFonts w:ascii="Lato" w:cs="Lato" w:eastAsia="Lato" w:hAnsi="Lato"/>
          <w:b/>
          <w:bCs/>
          <w:color w:val="3D6B4F"/>
          <w:sz w:val="26"/>
          <w:szCs w:val="26"/>
        </w:rPr>
        <w:t xml:space="preserve">Voice on LinkedIn</w:t>
      </w:r>
    </w:p>
    <w:p>
      <w:pPr>
        <w:pStyle w:val="ListParagraph"/>
        <w:numPr>
          <w:ilvl w:val="0"/>
          <w:numId w:val="2"/>
        </w:numPr>
        <w:spacing w:after="60" w:before="60"/>
      </w:pPr>
      <w:r>
        <w:rPr>
          <w:rFonts w:ascii="Lato" w:cs="Lato" w:eastAsia="Lato" w:hAnsi="Lato"/>
          <w:b w:val="false"/>
          <w:bCs w:val="false"/>
          <w:color w:val="2C3E35"/>
          <w:sz w:val="22"/>
          <w:szCs w:val="22"/>
        </w:rPr>
        <w:t xml:space="preserve">Open with a specific, bold statement — not a question, not a cliché</w:t>
      </w:r>
    </w:p>
    <w:p>
      <w:pPr>
        <w:pStyle w:val="ListParagraph"/>
        <w:numPr>
          <w:ilvl w:val="0"/>
          <w:numId w:val="2"/>
        </w:numPr>
        <w:spacing w:after="60" w:before="60"/>
      </w:pPr>
      <w:r>
        <w:rPr>
          <w:rFonts w:ascii="Lato" w:cs="Lato" w:eastAsia="Lato" w:hAnsi="Lato"/>
          <w:b w:val="false"/>
          <w:bCs w:val="false"/>
          <w:color w:val="2C3E35"/>
          <w:sz w:val="22"/>
          <w:szCs w:val="22"/>
        </w:rPr>
        <w:t xml:space="preserve">Anchor the insight in a real story or concrete result</w:t>
      </w:r>
    </w:p>
    <w:p>
      <w:pPr>
        <w:pStyle w:val="ListParagraph"/>
        <w:numPr>
          <w:ilvl w:val="0"/>
          <w:numId w:val="2"/>
        </w:numPr>
        <w:spacing w:after="60" w:before="60"/>
      </w:pPr>
      <w:r>
        <w:rPr>
          <w:rFonts w:ascii="Lato" w:cs="Lato" w:eastAsia="Lato" w:hAnsi="Lato"/>
          <w:b w:val="false"/>
          <w:bCs w:val="false"/>
          <w:color w:val="2C3E35"/>
          <w:sz w:val="22"/>
          <w:szCs w:val="22"/>
        </w:rPr>
        <w:t xml:space="preserve">Make the point of view unmistakable — readers should know it's Riya</w:t>
      </w:r>
    </w:p>
    <w:p>
      <w:pPr>
        <w:pStyle w:val="ListParagraph"/>
        <w:numPr>
          <w:ilvl w:val="0"/>
          <w:numId w:val="2"/>
        </w:numPr>
        <w:spacing w:after="60" w:before="60"/>
      </w:pPr>
      <w:r>
        <w:rPr>
          <w:rFonts w:ascii="Lato" w:cs="Lato" w:eastAsia="Lato" w:hAnsi="Lato"/>
          <w:b w:val="false"/>
          <w:bCs w:val="false"/>
          <w:color w:val="2C3E35"/>
          <w:sz w:val="22"/>
          <w:szCs w:val="22"/>
        </w:rPr>
        <w:t xml:space="preserve">Short paragraphs: 1–3 lines for mobile readability</w:t>
      </w:r>
    </w:p>
    <w:p>
      <w:pPr>
        <w:pStyle w:val="ListParagraph"/>
        <w:numPr>
          <w:ilvl w:val="0"/>
          <w:numId w:val="2"/>
        </w:numPr>
        <w:spacing w:after="60" w:before="60"/>
      </w:pPr>
      <w:r>
        <w:rPr>
          <w:rFonts w:ascii="Lato" w:cs="Lato" w:eastAsia="Lato" w:hAnsi="Lato"/>
          <w:b w:val="false"/>
          <w:bCs w:val="false"/>
          <w:color w:val="2C3E35"/>
          <w:sz w:val="22"/>
          <w:szCs w:val="22"/>
        </w:rPr>
        <w:t xml:space="preserve">Close with a takeaway or honest reflection — not a call to action every time</w:t>
      </w:r>
    </w:p>
    <w:p>
      <w:pPr>
        <w:pStyle w:val="ListParagraph"/>
        <w:numPr>
          <w:ilvl w:val="0"/>
          <w:numId w:val="2"/>
        </w:numPr>
        <w:spacing w:after="60" w:before="60"/>
      </w:pPr>
      <w:r>
        <w:rPr>
          <w:rFonts w:ascii="Lato" w:cs="Lato" w:eastAsia="Lato" w:hAnsi="Lato"/>
          <w:b w:val="false"/>
          <w:bCs w:val="false"/>
          <w:color w:val="2C3E35"/>
          <w:sz w:val="22"/>
          <w:szCs w:val="22"/>
        </w:rPr>
        <w:t xml:space="preserve">3–5 hashtags, placed at the end</w:t>
      </w:r>
    </w:p>
    <w:p>
      <w:pPr>
        <w:spacing w:after="0" w:before="160"/>
      </w:pPr>
      <w:r>
        <w:t xml:space="preserve"/>
      </w:r>
    </w:p>
    <w:p>
      <w:pPr>
        <w:spacing w:after="100" w:before="280"/>
      </w:pPr>
      <w:r>
        <w:rPr>
          <w:rFonts w:ascii="Lato" w:cs="Lato" w:eastAsia="Lato" w:hAnsi="Lato"/>
          <w:b/>
          <w:bCs/>
          <w:color w:val="3D6B4F"/>
          <w:sz w:val="26"/>
          <w:szCs w:val="26"/>
        </w:rPr>
        <w:t xml:space="preserve">Voice Examples</w:t>
      </w:r>
    </w:p>
    <w:p>
      <w:pPr>
        <w:spacing w:after="60" w:before="200"/>
      </w:pPr>
      <w:r>
        <w:rPr>
          <w:rFonts w:ascii="Lato" w:cs="Lato" w:eastAsia="Lato" w:hAnsi="Lato"/>
          <w:b/>
          <w:bCs/>
          <w:color w:val="6B7C73"/>
          <w:spacing w:val="50"/>
          <w:sz w:val="18"/>
          <w:szCs w:val="18"/>
        </w:rPr>
        <w:t xml:space="preserve">✅  WRITE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D6B4F" w:sz="28"/>
              <w:bottom w:val="none" w:color="FFFFFF" w:sz="0"/>
              <w:right w:val="none" w:color="FFFFFF" w:sz="0"/>
            </w:tcBorders>
            <w:shd w:fill="EEF4EF" w:val="clear"/>
            <w:tcMar>
              <w:top w:type="dxa" w:w="180"/>
              <w:left w:type="dxa" w:w="280"/>
              <w:bottom w:type="dxa" w:w="180"/>
              <w:right w:type="dxa" w:w="200"/>
            </w:tcMar>
          </w:tcPr>
          <w:p>
            <w:r>
              <w:rPr>
                <w:rFonts w:ascii="Lato" w:cs="Lato" w:eastAsia="Lato" w:hAnsi="Lato"/>
                <w:i/>
                <w:iCs/>
                <w:color w:val="2C3E35"/>
                <w:sz w:val="23"/>
                <w:szCs w:val="23"/>
              </w:rPr>
              <w:t xml:space="preserve">I grew a LinkedIn audience by 118% in a few months. Not by posting more. By posting things that were actually true to what the audience needed to hear — not what the brand wanted to say.</w:t>
            </w:r>
          </w:p>
        </w:tc>
      </w:tr>
    </w:tbl>
    <w:p>
      <w:pPr>
        <w:spacing w:after="0" w:before="120"/>
      </w:pPr>
      <w:r>
        <w:t xml:space="preserve"/>
      </w:r>
    </w:p>
    <w:p>
      <w:pPr>
        <w:spacing w:after="60" w:before="200"/>
      </w:pPr>
      <w:r>
        <w:rPr>
          <w:rFonts w:ascii="Lato" w:cs="Lato" w:eastAsia="Lato" w:hAnsi="Lato"/>
          <w:b/>
          <w:bCs/>
          <w:color w:val="6B7C73"/>
          <w:spacing w:val="50"/>
          <w:sz w:val="18"/>
          <w:szCs w:val="18"/>
        </w:rPr>
        <w:t xml:space="preserve">❌  AVOID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14F" w:sz="28"/>
              <w:bottom w:val="none" w:color="FFFFFF" w:sz="0"/>
              <w:right w:val="none" w:color="FFFFFF" w:sz="0"/>
            </w:tcBorders>
            <w:shd w:fill="FFF5F0" w:val="clear"/>
            <w:tcMar>
              <w:top w:type="dxa" w:w="180"/>
              <w:left w:type="dxa" w:w="280"/>
              <w:bottom w:type="dxa" w:w="180"/>
              <w:right w:type="dxa" w:w="200"/>
            </w:tcMar>
          </w:tcPr>
          <w:p>
            <w:r>
              <w:rPr>
                <w:rFonts w:ascii="Lato" w:cs="Lato" w:eastAsia="Lato" w:hAnsi="Lato"/>
                <w:i/>
                <w:iCs/>
                <w:color w:val="2C3E35"/>
                <w:sz w:val="23"/>
                <w:szCs w:val="23"/>
              </w:rPr>
              <w:t xml:space="preserve">Excited to share some amazing results from our latest campaign! In today's competitive digital landscape, storytelling has never been more important for purpose-driven organisations...</w:t>
            </w:r>
          </w:p>
        </w:tc>
      </w:tr>
    </w:tbl>
    <w:p>
      <w:pPr>
        <w:pBdr>
          <w:bottom w:val="single" w:color="E2DBD0" w:sz="2" w:space="1"/>
        </w:pBdr>
        <w:spacing w:after="280" w:before="280"/>
      </w:pPr>
      <w:r>
        <w:t xml:space="preserve"/>
      </w:r>
    </w:p>
    <w:p>
      <w:pPr>
        <w:pBdr>
          <w:bottom w:val="single" w:color="3D6B4F" w:sz="8" w:space="6"/>
        </w:pBdr>
        <w:spacing w:after="160" w:before="480"/>
      </w:pPr>
      <w:r>
        <w:rPr>
          <w:rFonts w:ascii="Lato" w:cs="Lato" w:eastAsia="Lato" w:hAnsi="Lato"/>
          <w:b/>
          <w:bCs/>
          <w:color w:val="2C3E35"/>
          <w:sz w:val="38"/>
          <w:szCs w:val="38"/>
        </w:rPr>
        <w:t xml:space="preserve">05  Color Palette</w:t>
      </w:r>
    </w:p>
    <w:p>
      <w:pPr>
        <w:spacing w:after="80" w:before="80"/>
      </w:pPr>
      <w:r>
        <w:rPr>
          <w:rFonts w:ascii="Lato" w:cs="Lato" w:eastAsia="Lato" w:hAnsi="Lato"/>
          <w:color w:val="2C3E35"/>
          <w:sz w:val="22"/>
          <w:szCs w:val="22"/>
        </w:rPr>
        <w:t xml:space="preserve">Rooted in nature and purpose. Sage greens for growth and trust. Terracotta for warmth and creative energy. Warm cream as the base — open, personal, never sterile.</w:t>
      </w:r>
    </w:p>
    <w:p>
      <w:pPr>
        <w:spacing w:after="0" w:before="160"/>
      </w:pPr>
      <w:r>
        <w:t xml:space="preserve"/>
      </w:r>
    </w:p>
    <w:p>
      <w:pPr>
        <w:spacing w:after="60" w:before="200"/>
      </w:pPr>
      <w:r>
        <w:rPr>
          <w:rFonts w:ascii="Lato" w:cs="Lato" w:eastAsia="Lato" w:hAnsi="Lato"/>
          <w:b/>
          <w:bCs/>
          <w:color w:val="6B7C73"/>
          <w:spacing w:val="50"/>
          <w:sz w:val="18"/>
          <w:szCs w:val="18"/>
        </w:rPr>
        <w:t xml:space="preserve">PRIMARY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3D6B4F" w:val="clear"/>
            <w:tcMar>
              <w:top w:type="dxa" w:w="560"/>
              <w:left w:type="dxa" w:w="80"/>
              <w:bottom w:type="dxa" w:w="560"/>
              <w:right w:type="dxa" w:w="80"/>
            </w:tcMar>
          </w:tcPr>
          <w:p>
            <w:r>
              <w:t xml:space="preserve"/>
            </w:r>
          </w:p>
        </w:tc>
        <w:tc>
          <w:tcPr>
            <w:tcW w:type="dxa" w:w="3120"/>
            <w:tcBorders>
              <w:top w:val="none" w:color="FFFFFF" w:sz="0"/>
              <w:left w:val="none" w:color="FFFFFF" w:sz="0"/>
              <w:bottom w:val="none" w:color="FFFFFF" w:sz="0"/>
              <w:right w:val="none" w:color="FFFFFF" w:sz="0"/>
            </w:tcBorders>
            <w:shd w:fill="C2714F" w:val="clear"/>
            <w:tcMar>
              <w:top w:type="dxa" w:w="560"/>
              <w:left w:type="dxa" w:w="80"/>
              <w:bottom w:type="dxa" w:w="560"/>
              <w:right w:type="dxa" w:w="80"/>
            </w:tcMar>
          </w:tcPr>
          <w:p>
            <w:r>
              <w:t xml:space="preserve"/>
            </w:r>
          </w:p>
        </w:tc>
        <w:tc>
          <w:tcPr>
            <w:tcW w:type="dxa" w:w="3120"/>
            <w:tcBorders>
              <w:top w:val="none" w:color="FFFFFF" w:sz="0"/>
              <w:left w:val="none" w:color="FFFFFF" w:sz="0"/>
              <w:bottom w:val="none" w:color="FFFFFF" w:sz="0"/>
              <w:right w:val="none" w:color="FFFFFF" w:sz="0"/>
            </w:tcBorders>
            <w:shd w:fill="E8B86D" w:val="clear"/>
            <w:tcMar>
              <w:top w:type="dxa" w:w="560"/>
              <w:left w:type="dxa" w:w="80"/>
              <w:bottom w:type="dxa" w:w="560"/>
              <w:right w:type="dxa" w:w="80"/>
            </w:tcMar>
          </w:tcPr>
          <w:p>
            <w:r>
              <w:t xml:space="preserve"/>
            </w:r>
          </w:p>
        </w:tc>
      </w:tr>
      <w:tr>
        <w:tc>
          <w:tcPr>
            <w:tcW w:type="dxa" w:w="3120"/>
            <w:tcBorders>
              <w:top w:val="none" w:color="FFFFFF" w:sz="0"/>
              <w:left w:val="none" w:color="FFFFFF" w:sz="0"/>
              <w:bottom w:val="none" w:color="FFFFFF" w:sz="0"/>
              <w:right w:val="none" w:color="FFFFFF" w:sz="0"/>
            </w:tcBorders>
            <w:shd w:fill="F5F0E8" w:val="clear"/>
            <w:tcMar>
              <w:top w:type="dxa" w:w="80"/>
              <w:left w:type="dxa" w:w="100"/>
              <w:bottom w:type="dxa" w:w="20"/>
              <w:right w:type="dxa" w:w="80"/>
            </w:tcMar>
          </w:tcPr>
          <w:p>
            <w:r>
              <w:rPr>
                <w:rFonts w:ascii="Lato" w:cs="Lato" w:eastAsia="Lato" w:hAnsi="Lato"/>
                <w:b/>
                <w:bCs/>
                <w:color w:val="2C3E35"/>
                <w:sz w:val="18"/>
                <w:szCs w:val="18"/>
              </w:rPr>
              <w:t xml:space="preserve">Sage Green</w:t>
            </w:r>
          </w:p>
        </w:tc>
        <w:tc>
          <w:tcPr>
            <w:tcW w:type="dxa" w:w="3120"/>
            <w:tcBorders>
              <w:top w:val="none" w:color="FFFFFF" w:sz="0"/>
              <w:left w:val="none" w:color="FFFFFF" w:sz="0"/>
              <w:bottom w:val="none" w:color="FFFFFF" w:sz="0"/>
              <w:right w:val="none" w:color="FFFFFF" w:sz="0"/>
            </w:tcBorders>
            <w:shd w:fill="F5F0E8" w:val="clear"/>
            <w:tcMar>
              <w:top w:type="dxa" w:w="80"/>
              <w:left w:type="dxa" w:w="100"/>
              <w:bottom w:type="dxa" w:w="20"/>
              <w:right w:type="dxa" w:w="80"/>
            </w:tcMar>
          </w:tcPr>
          <w:p>
            <w:r>
              <w:rPr>
                <w:rFonts w:ascii="Lato" w:cs="Lato" w:eastAsia="Lato" w:hAnsi="Lato"/>
                <w:b/>
                <w:bCs/>
                <w:color w:val="2C3E35"/>
                <w:sz w:val="18"/>
                <w:szCs w:val="18"/>
              </w:rPr>
              <w:t xml:space="preserve">Terracotta</w:t>
            </w:r>
          </w:p>
        </w:tc>
        <w:tc>
          <w:tcPr>
            <w:tcW w:type="dxa" w:w="3120"/>
            <w:tcBorders>
              <w:top w:val="none" w:color="FFFFFF" w:sz="0"/>
              <w:left w:val="none" w:color="FFFFFF" w:sz="0"/>
              <w:bottom w:val="none" w:color="FFFFFF" w:sz="0"/>
              <w:right w:val="none" w:color="FFFFFF" w:sz="0"/>
            </w:tcBorders>
            <w:shd w:fill="F5F0E8" w:val="clear"/>
            <w:tcMar>
              <w:top w:type="dxa" w:w="80"/>
              <w:left w:type="dxa" w:w="100"/>
              <w:bottom w:type="dxa" w:w="20"/>
              <w:right w:type="dxa" w:w="80"/>
            </w:tcMar>
          </w:tcPr>
          <w:p>
            <w:r>
              <w:rPr>
                <w:rFonts w:ascii="Lato" w:cs="Lato" w:eastAsia="Lato" w:hAnsi="Lato"/>
                <w:b/>
                <w:bCs/>
                <w:color w:val="2C3E35"/>
                <w:sz w:val="18"/>
                <w:szCs w:val="18"/>
              </w:rPr>
              <w:t xml:space="preserve">Warm Gold</w:t>
            </w:r>
          </w:p>
        </w:tc>
      </w:tr>
      <w:tr>
        <w:tc>
          <w:tcPr>
            <w:tcW w:type="dxa" w:w="3120"/>
            <w:tcBorders>
              <w:top w:val="none" w:color="FFFFFF" w:sz="0"/>
              <w:left w:val="none" w:color="FFFFFF" w:sz="0"/>
              <w:bottom w:val="none" w:color="FFFFFF" w:sz="0"/>
              <w:right w:val="none" w:color="FFFFFF" w:sz="0"/>
            </w:tcBorders>
            <w:shd w:fill="F5F0E8" w:val="clear"/>
            <w:tcMar>
              <w:top w:type="dxa" w:w="0"/>
              <w:left w:type="dxa" w:w="100"/>
              <w:bottom w:type="dxa" w:w="80"/>
              <w:right w:type="dxa" w:w="80"/>
            </w:tcMar>
          </w:tcPr>
          <w:p>
            <w:r>
              <w:rPr>
                <w:rFonts w:ascii="Lato" w:cs="Lato" w:eastAsia="Lato" w:hAnsi="Lato"/>
                <w:color w:val="6B7C73"/>
                <w:sz w:val="16"/>
                <w:szCs w:val="16"/>
              </w:rPr>
              <w:t xml:space="preserve">#3D6B4F  •  Primary brand color</w:t>
            </w:r>
          </w:p>
        </w:tc>
        <w:tc>
          <w:tcPr>
            <w:tcW w:type="dxa" w:w="3120"/>
            <w:tcBorders>
              <w:top w:val="none" w:color="FFFFFF" w:sz="0"/>
              <w:left w:val="none" w:color="FFFFFF" w:sz="0"/>
              <w:bottom w:val="none" w:color="FFFFFF" w:sz="0"/>
              <w:right w:val="none" w:color="FFFFFF" w:sz="0"/>
            </w:tcBorders>
            <w:shd w:fill="F5F0E8" w:val="clear"/>
            <w:tcMar>
              <w:top w:type="dxa" w:w="0"/>
              <w:left w:type="dxa" w:w="100"/>
              <w:bottom w:type="dxa" w:w="80"/>
              <w:right w:type="dxa" w:w="80"/>
            </w:tcMar>
          </w:tcPr>
          <w:p>
            <w:r>
              <w:rPr>
                <w:rFonts w:ascii="Lato" w:cs="Lato" w:eastAsia="Lato" w:hAnsi="Lato"/>
                <w:color w:val="6B7C73"/>
                <w:sz w:val="16"/>
                <w:szCs w:val="16"/>
              </w:rPr>
              <w:t xml:space="preserve">#C2714F  •  Warmth &amp; accent</w:t>
            </w:r>
          </w:p>
        </w:tc>
        <w:tc>
          <w:tcPr>
            <w:tcW w:type="dxa" w:w="3120"/>
            <w:tcBorders>
              <w:top w:val="none" w:color="FFFFFF" w:sz="0"/>
              <w:left w:val="none" w:color="FFFFFF" w:sz="0"/>
              <w:bottom w:val="none" w:color="FFFFFF" w:sz="0"/>
              <w:right w:val="none" w:color="FFFFFF" w:sz="0"/>
            </w:tcBorders>
            <w:shd w:fill="F5F0E8" w:val="clear"/>
            <w:tcMar>
              <w:top w:type="dxa" w:w="0"/>
              <w:left w:type="dxa" w:w="100"/>
              <w:bottom w:type="dxa" w:w="80"/>
              <w:right w:type="dxa" w:w="80"/>
            </w:tcMar>
          </w:tcPr>
          <w:p>
            <w:r>
              <w:rPr>
                <w:rFonts w:ascii="Lato" w:cs="Lato" w:eastAsia="Lato" w:hAnsi="Lato"/>
                <w:color w:val="6B7C73"/>
                <w:sz w:val="16"/>
                <w:szCs w:val="16"/>
              </w:rPr>
              <w:t xml:space="preserve">#E8B86D  •  Emphasis only</w:t>
            </w:r>
          </w:p>
        </w:tc>
      </w:tr>
    </w:tbl>
    <w:p>
      <w:pPr>
        <w:spacing w:after="0" w:before="160"/>
      </w:pPr>
      <w:r>
        <w:t xml:space="preserve"/>
      </w:r>
    </w:p>
    <w:p>
      <w:pPr>
        <w:spacing w:after="60" w:before="200"/>
      </w:pPr>
      <w:r>
        <w:rPr>
          <w:rFonts w:ascii="Lato" w:cs="Lato" w:eastAsia="Lato" w:hAnsi="Lato"/>
          <w:b/>
          <w:bCs/>
          <w:color w:val="6B7C73"/>
          <w:spacing w:val="50"/>
          <w:sz w:val="18"/>
          <w:szCs w:val="18"/>
        </w:rPr>
        <w:t xml:space="preserve">NEUTRALS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2C3E35" w:val="clear"/>
            <w:tcMar>
              <w:top w:type="dxa" w:w="560"/>
              <w:left w:type="dxa" w:w="80"/>
              <w:bottom w:type="dxa" w:w="560"/>
              <w:right w:type="dxa" w:w="80"/>
            </w:tcMar>
          </w:tcPr>
          <w:p>
            <w:r>
              <w:t xml:space="preserve"/>
            </w:r>
          </w:p>
        </w:tc>
        <w:tc>
          <w:tcPr>
            <w:tcW w:type="dxa" w:w="3120"/>
            <w:tcBorders>
              <w:top w:val="none" w:color="FFFFFF" w:sz="0"/>
              <w:left w:val="none" w:color="FFFFFF" w:sz="0"/>
              <w:bottom w:val="none" w:color="FFFFFF" w:sz="0"/>
              <w:right w:val="none" w:color="FFFFFF" w:sz="0"/>
            </w:tcBorders>
            <w:shd w:fill="8BA888" w:val="clear"/>
            <w:tcMar>
              <w:top w:type="dxa" w:w="560"/>
              <w:left w:type="dxa" w:w="80"/>
              <w:bottom w:type="dxa" w:w="560"/>
              <w:right w:type="dxa" w:w="80"/>
            </w:tcMar>
          </w:tcPr>
          <w:p>
            <w:r>
              <w:t xml:space="preserve"/>
            </w:r>
          </w:p>
        </w:tc>
        <w:tc>
          <w:tcPr>
            <w:tcW w:type="dxa" w:w="3120"/>
            <w:tcBorders>
              <w:top w:val="none" w:color="FFFFFF" w:sz="0"/>
              <w:left w:val="none" w:color="FFFFFF" w:sz="0"/>
              <w:bottom w:val="none" w:color="FFFFFF" w:sz="0"/>
              <w:right w:val="none" w:color="FFFFFF" w:sz="0"/>
            </w:tcBorders>
            <w:shd w:fill="F5F0E8" w:val="clear"/>
            <w:tcMar>
              <w:top w:type="dxa" w:w="560"/>
              <w:left w:type="dxa" w:w="80"/>
              <w:bottom w:type="dxa" w:w="560"/>
              <w:right w:type="dxa" w:w="80"/>
            </w:tcMar>
          </w:tcPr>
          <w:p>
            <w:r>
              <w:t xml:space="preserve"/>
            </w:r>
          </w:p>
        </w:tc>
      </w:tr>
      <w:tr>
        <w:tc>
          <w:tcPr>
            <w:tcW w:type="dxa" w:w="3120"/>
            <w:tcBorders>
              <w:top w:val="none" w:color="FFFFFF" w:sz="0"/>
              <w:left w:val="none" w:color="FFFFFF" w:sz="0"/>
              <w:bottom w:val="none" w:color="FFFFFF" w:sz="0"/>
              <w:right w:val="none" w:color="FFFFFF" w:sz="0"/>
            </w:tcBorders>
            <w:shd w:fill="F5F0E8" w:val="clear"/>
            <w:tcMar>
              <w:top w:type="dxa" w:w="80"/>
              <w:left w:type="dxa" w:w="100"/>
              <w:bottom w:type="dxa" w:w="20"/>
              <w:right w:type="dxa" w:w="80"/>
            </w:tcMar>
          </w:tcPr>
          <w:p>
            <w:r>
              <w:rPr>
                <w:rFonts w:ascii="Lato" w:cs="Lato" w:eastAsia="Lato" w:hAnsi="Lato"/>
                <w:b/>
                <w:bCs/>
                <w:color w:val="2C3E35"/>
                <w:sz w:val="18"/>
                <w:szCs w:val="18"/>
              </w:rPr>
              <w:t xml:space="preserve">Deep Forest</w:t>
            </w:r>
          </w:p>
        </w:tc>
        <w:tc>
          <w:tcPr>
            <w:tcW w:type="dxa" w:w="3120"/>
            <w:tcBorders>
              <w:top w:val="none" w:color="FFFFFF" w:sz="0"/>
              <w:left w:val="none" w:color="FFFFFF" w:sz="0"/>
              <w:bottom w:val="none" w:color="FFFFFF" w:sz="0"/>
              <w:right w:val="none" w:color="FFFFFF" w:sz="0"/>
            </w:tcBorders>
            <w:shd w:fill="F5F0E8" w:val="clear"/>
            <w:tcMar>
              <w:top w:type="dxa" w:w="80"/>
              <w:left w:type="dxa" w:w="100"/>
              <w:bottom w:type="dxa" w:w="20"/>
              <w:right w:type="dxa" w:w="80"/>
            </w:tcMar>
          </w:tcPr>
          <w:p>
            <w:r>
              <w:rPr>
                <w:rFonts w:ascii="Lato" w:cs="Lato" w:eastAsia="Lato" w:hAnsi="Lato"/>
                <w:b/>
                <w:bCs/>
                <w:color w:val="2C3E35"/>
                <w:sz w:val="18"/>
                <w:szCs w:val="18"/>
              </w:rPr>
              <w:t xml:space="preserve">Muted Sage</w:t>
            </w:r>
          </w:p>
        </w:tc>
        <w:tc>
          <w:tcPr>
            <w:tcW w:type="dxa" w:w="3120"/>
            <w:tcBorders>
              <w:top w:val="none" w:color="FFFFFF" w:sz="0"/>
              <w:left w:val="none" w:color="FFFFFF" w:sz="0"/>
              <w:bottom w:val="none" w:color="FFFFFF" w:sz="0"/>
              <w:right w:val="none" w:color="FFFFFF" w:sz="0"/>
            </w:tcBorders>
            <w:shd w:fill="F5F0E8" w:val="clear"/>
            <w:tcMar>
              <w:top w:type="dxa" w:w="80"/>
              <w:left w:type="dxa" w:w="100"/>
              <w:bottom w:type="dxa" w:w="20"/>
              <w:right w:type="dxa" w:w="80"/>
            </w:tcMar>
          </w:tcPr>
          <w:p>
            <w:r>
              <w:rPr>
                <w:rFonts w:ascii="Lato" w:cs="Lato" w:eastAsia="Lato" w:hAnsi="Lato"/>
                <w:b/>
                <w:bCs/>
                <w:color w:val="2C3E35"/>
                <w:sz w:val="18"/>
                <w:szCs w:val="18"/>
              </w:rPr>
              <w:t xml:space="preserve">Warm Cream</w:t>
            </w:r>
          </w:p>
        </w:tc>
      </w:tr>
      <w:tr>
        <w:tc>
          <w:tcPr>
            <w:tcW w:type="dxa" w:w="3120"/>
            <w:tcBorders>
              <w:top w:val="none" w:color="FFFFFF" w:sz="0"/>
              <w:left w:val="none" w:color="FFFFFF" w:sz="0"/>
              <w:bottom w:val="none" w:color="FFFFFF" w:sz="0"/>
              <w:right w:val="none" w:color="FFFFFF" w:sz="0"/>
            </w:tcBorders>
            <w:shd w:fill="F5F0E8" w:val="clear"/>
            <w:tcMar>
              <w:top w:type="dxa" w:w="0"/>
              <w:left w:type="dxa" w:w="100"/>
              <w:bottom w:type="dxa" w:w="80"/>
              <w:right w:type="dxa" w:w="80"/>
            </w:tcMar>
          </w:tcPr>
          <w:p>
            <w:r>
              <w:rPr>
                <w:rFonts w:ascii="Lato" w:cs="Lato" w:eastAsia="Lato" w:hAnsi="Lato"/>
                <w:color w:val="6B7C73"/>
                <w:sz w:val="16"/>
                <w:szCs w:val="16"/>
              </w:rPr>
              <w:t xml:space="preserve">#2C3E35  •  Text &amp; headlines</w:t>
            </w:r>
          </w:p>
        </w:tc>
        <w:tc>
          <w:tcPr>
            <w:tcW w:type="dxa" w:w="3120"/>
            <w:tcBorders>
              <w:top w:val="none" w:color="FFFFFF" w:sz="0"/>
              <w:left w:val="none" w:color="FFFFFF" w:sz="0"/>
              <w:bottom w:val="none" w:color="FFFFFF" w:sz="0"/>
              <w:right w:val="none" w:color="FFFFFF" w:sz="0"/>
            </w:tcBorders>
            <w:shd w:fill="F5F0E8" w:val="clear"/>
            <w:tcMar>
              <w:top w:type="dxa" w:w="0"/>
              <w:left w:type="dxa" w:w="100"/>
              <w:bottom w:type="dxa" w:w="80"/>
              <w:right w:type="dxa" w:w="80"/>
            </w:tcMar>
          </w:tcPr>
          <w:p>
            <w:r>
              <w:rPr>
                <w:rFonts w:ascii="Lato" w:cs="Lato" w:eastAsia="Lato" w:hAnsi="Lato"/>
                <w:color w:val="6B7C73"/>
                <w:sz w:val="16"/>
                <w:szCs w:val="16"/>
              </w:rPr>
              <w:t xml:space="preserve">#8BA888  •  Captions &amp; labels</w:t>
            </w:r>
          </w:p>
        </w:tc>
        <w:tc>
          <w:tcPr>
            <w:tcW w:type="dxa" w:w="3120"/>
            <w:tcBorders>
              <w:top w:val="none" w:color="FFFFFF" w:sz="0"/>
              <w:left w:val="none" w:color="FFFFFF" w:sz="0"/>
              <w:bottom w:val="none" w:color="FFFFFF" w:sz="0"/>
              <w:right w:val="none" w:color="FFFFFF" w:sz="0"/>
            </w:tcBorders>
            <w:shd w:fill="F5F0E8" w:val="clear"/>
            <w:tcMar>
              <w:top w:type="dxa" w:w="0"/>
              <w:left w:type="dxa" w:w="100"/>
              <w:bottom w:type="dxa" w:w="80"/>
              <w:right w:type="dxa" w:w="80"/>
            </w:tcMar>
          </w:tcPr>
          <w:p>
            <w:r>
              <w:rPr>
                <w:rFonts w:ascii="Lato" w:cs="Lato" w:eastAsia="Lato" w:hAnsi="Lato"/>
                <w:color w:val="6B7C73"/>
                <w:sz w:val="16"/>
                <w:szCs w:val="16"/>
              </w:rPr>
              <w:t xml:space="preserve">#F5F0E8  •  Backgrounds</w:t>
            </w:r>
          </w:p>
        </w:tc>
      </w:tr>
    </w:tbl>
    <w:p>
      <w:pPr>
        <w:spacing w:after="0" w:before="160"/>
      </w:pPr>
      <w:r>
        <w:t xml:space="preserve"/>
      </w:r>
    </w:p>
    <w:p>
      <w:pPr>
        <w:spacing w:after="100" w:before="280"/>
      </w:pPr>
      <w:r>
        <w:rPr>
          <w:rFonts w:ascii="Lato" w:cs="Lato" w:eastAsia="Lato" w:hAnsi="Lato"/>
          <w:b/>
          <w:bCs/>
          <w:color w:val="3D6B4F"/>
          <w:sz w:val="26"/>
          <w:szCs w:val="26"/>
        </w:rPr>
        <w:t xml:space="preserve">Color Rules</w:t>
      </w:r>
    </w:p>
    <w:p>
      <w:pPr>
        <w:pStyle w:val="ListParagraph"/>
        <w:numPr>
          <w:ilvl w:val="0"/>
          <w:numId w:val="2"/>
        </w:numPr>
        <w:spacing w:after="60" w:before="60"/>
      </w:pPr>
      <w:r>
        <w:rPr>
          <w:rFonts w:ascii="Lato" w:cs="Lato" w:eastAsia="Lato" w:hAnsi="Lato"/>
          <w:b w:val="false"/>
          <w:bCs w:val="false"/>
          <w:color w:val="2C3E35"/>
          <w:sz w:val="22"/>
          <w:szCs w:val="22"/>
        </w:rPr>
        <w:t xml:space="preserve">Sage Green leads — headings, CTAs, key UI elements, the wordmark</w:t>
      </w:r>
    </w:p>
    <w:p>
      <w:pPr>
        <w:pStyle w:val="ListParagraph"/>
        <w:numPr>
          <w:ilvl w:val="0"/>
          <w:numId w:val="2"/>
        </w:numPr>
        <w:spacing w:after="60" w:before="60"/>
      </w:pPr>
      <w:r>
        <w:rPr>
          <w:rFonts w:ascii="Lato" w:cs="Lato" w:eastAsia="Lato" w:hAnsi="Lato"/>
          <w:b w:val="false"/>
          <w:bCs w:val="false"/>
          <w:color w:val="2C3E35"/>
          <w:sz w:val="22"/>
          <w:szCs w:val="22"/>
        </w:rPr>
        <w:t xml:space="preserve">Terracotta adds warmth — pull quotes, highlights, accent moments</w:t>
      </w:r>
    </w:p>
    <w:p>
      <w:pPr>
        <w:pStyle w:val="ListParagraph"/>
        <w:numPr>
          <w:ilvl w:val="0"/>
          <w:numId w:val="2"/>
        </w:numPr>
        <w:spacing w:after="60" w:before="60"/>
      </w:pPr>
      <w:r>
        <w:rPr>
          <w:rFonts w:ascii="Lato" w:cs="Lato" w:eastAsia="Lato" w:hAnsi="Lato"/>
          <w:b w:val="false"/>
          <w:bCs w:val="false"/>
          <w:color w:val="2C3E35"/>
          <w:sz w:val="22"/>
          <w:szCs w:val="22"/>
        </w:rPr>
        <w:t xml:space="preserve">Warm Gold is used sparingly — one or two touches per piece, maximum</w:t>
      </w:r>
    </w:p>
    <w:p>
      <w:pPr>
        <w:pStyle w:val="ListParagraph"/>
        <w:numPr>
          <w:ilvl w:val="0"/>
          <w:numId w:val="2"/>
        </w:numPr>
        <w:spacing w:after="60" w:before="60"/>
      </w:pPr>
      <w:r>
        <w:rPr>
          <w:rFonts w:ascii="Lato" w:cs="Lato" w:eastAsia="Lato" w:hAnsi="Lato"/>
          <w:b w:val="false"/>
          <w:bCs w:val="false"/>
          <w:color w:val="2C3E35"/>
          <w:sz w:val="22"/>
          <w:szCs w:val="22"/>
        </w:rPr>
        <w:t xml:space="preserve">Deep Forest replaces black everywhere — never use pure #000000</w:t>
      </w:r>
    </w:p>
    <w:p>
      <w:pPr>
        <w:pStyle w:val="ListParagraph"/>
        <w:numPr>
          <w:ilvl w:val="0"/>
          <w:numId w:val="2"/>
        </w:numPr>
        <w:spacing w:after="60" w:before="60"/>
      </w:pPr>
      <w:r>
        <w:rPr>
          <w:rFonts w:ascii="Lato" w:cs="Lato" w:eastAsia="Lato" w:hAnsi="Lato"/>
          <w:b w:val="false"/>
          <w:bCs w:val="false"/>
          <w:color w:val="2C3E35"/>
          <w:sz w:val="22"/>
          <w:szCs w:val="22"/>
        </w:rPr>
        <w:t xml:space="preserve">Warm Cream replaces white as the primary background — more human, less clinical</w:t>
      </w:r>
    </w:p>
    <w:p>
      <w:pPr>
        <w:pStyle w:val="ListParagraph"/>
        <w:numPr>
          <w:ilvl w:val="0"/>
          <w:numId w:val="2"/>
        </w:numPr>
        <w:spacing w:after="60" w:before="60"/>
      </w:pPr>
      <w:r>
        <w:rPr>
          <w:rFonts w:ascii="Lato" w:cs="Lato" w:eastAsia="Lato" w:hAnsi="Lato"/>
          <w:b w:val="false"/>
          <w:bCs w:val="false"/>
          <w:color w:val="2C3E35"/>
          <w:sz w:val="22"/>
          <w:szCs w:val="22"/>
        </w:rPr>
        <w:t xml:space="preserve">Never place Terracotta and Gold together without a neutral separating them</w:t>
      </w:r>
    </w:p>
    <w:p>
      <w:pPr>
        <w:pBdr>
          <w:bottom w:val="single" w:color="E2DBD0" w:sz="2" w:space="1"/>
        </w:pBdr>
        <w:spacing w:after="280" w:before="280"/>
      </w:pPr>
      <w:r>
        <w:t xml:space="preserve"/>
      </w:r>
    </w:p>
    <w:p>
      <w:pPr>
        <w:pBdr>
          <w:bottom w:val="single" w:color="3D6B4F" w:sz="8" w:space="6"/>
        </w:pBdr>
        <w:spacing w:after="160" w:before="480"/>
      </w:pPr>
      <w:r>
        <w:rPr>
          <w:rFonts w:ascii="Lato" w:cs="Lato" w:eastAsia="Lato" w:hAnsi="Lato"/>
          <w:b/>
          <w:bCs/>
          <w:color w:val="2C3E35"/>
          <w:sz w:val="38"/>
          <w:szCs w:val="38"/>
        </w:rPr>
        <w:t xml:space="preserve">06  Typography</w:t>
      </w:r>
    </w:p>
    <w:p>
      <w:pPr>
        <w:spacing w:after="80" w:before="80"/>
      </w:pPr>
      <w:r>
        <w:rPr>
          <w:rFonts w:ascii="Lato" w:cs="Lato" w:eastAsia="Lato" w:hAnsi="Lato"/>
          <w:color w:val="2C3E35"/>
          <w:sz w:val="22"/>
          <w:szCs w:val="22"/>
        </w:rPr>
        <w:t xml:space="preserve">Humanist and warm. Lato is readable at all sizes, friendly without being casual, and works equally well in a deck, a LinkedIn carousel, or a proposal document.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Primary Font</w:t>
            </w:r>
          </w:p>
        </w:tc>
        <w:tc>
          <w:tcPr>
            <w:tcW w:type="dxa" w:w="67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Lato  —  All headings, body copy, and UI</w:t>
            </w:r>
          </w:p>
        </w:tc>
      </w:tr>
      <w:tr>
        <w:tc>
          <w:tcPr>
            <w:tcW w:type="dxa" w:w="260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b/>
                <w:bCs/>
                <w:color w:val="3D6B4F"/>
                <w:sz w:val="20"/>
                <w:szCs w:val="20"/>
              </w:rPr>
              <w:t xml:space="preserve">Secondary Font</w:t>
            </w:r>
          </w:p>
        </w:tc>
        <w:tc>
          <w:tcPr>
            <w:tcW w:type="dxa" w:w="6760"/>
            <w:tcBorders>
              <w:top w:val="single" w:color="D9D4CA" w:sz="1"/>
              <w:left w:val="single" w:color="D9D4CA" w:sz="1"/>
              <w:bottom w:val="single" w:color="D9D4CA" w:sz="1"/>
              <w:right w:val="single" w:color="D9D4CA" w:sz="1"/>
            </w:tcBorders>
            <w:shd w:fill="FAFAF7" w:val="clear"/>
            <w:tcMar>
              <w:top w:type="dxa" w:w="100"/>
              <w:left w:type="dxa" w:w="160"/>
              <w:bottom w:type="dxa" w:w="100"/>
              <w:right w:type="dxa" w:w="120"/>
            </w:tcMar>
          </w:tcPr>
          <w:p>
            <w:r>
              <w:rPr>
                <w:rFonts w:ascii="Lato" w:cs="Lato" w:eastAsia="Lato" w:hAnsi="Lato"/>
                <w:color w:val="2C3E35"/>
                <w:sz w:val="20"/>
                <w:szCs w:val="20"/>
              </w:rPr>
              <w:t xml:space="preserve">Merriweather  —  Pull quotes and editorial callouts</w:t>
            </w:r>
          </w:p>
        </w:tc>
      </w:tr>
      <w:tr>
        <w:tc>
          <w:tcPr>
            <w:tcW w:type="dxa" w:w="26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Web Fallback</w:t>
            </w:r>
          </w:p>
        </w:tc>
        <w:tc>
          <w:tcPr>
            <w:tcW w:type="dxa" w:w="67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Georgia, Arial, sans-serif</w:t>
            </w:r>
          </w:p>
        </w:tc>
      </w:tr>
      <w:tr>
        <w:tc>
          <w:tcPr>
            <w:tcW w:type="dxa" w:w="260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b/>
                <w:bCs/>
                <w:color w:val="3D6B4F"/>
                <w:sz w:val="20"/>
                <w:szCs w:val="20"/>
              </w:rPr>
              <w:t xml:space="preserve">LinkedIn Posts</w:t>
            </w:r>
          </w:p>
        </w:tc>
        <w:tc>
          <w:tcPr>
            <w:tcW w:type="dxa" w:w="6760"/>
            <w:tcBorders>
              <w:top w:val="single" w:color="D9D4CA" w:sz="1"/>
              <w:left w:val="single" w:color="D9D4CA" w:sz="1"/>
              <w:bottom w:val="single" w:color="D9D4CA" w:sz="1"/>
              <w:right w:val="single" w:color="D9D4CA" w:sz="1"/>
            </w:tcBorders>
            <w:shd w:fill="FAFAF7" w:val="clear"/>
            <w:tcMar>
              <w:top w:type="dxa" w:w="100"/>
              <w:left w:type="dxa" w:w="160"/>
              <w:bottom w:type="dxa" w:w="100"/>
              <w:right w:type="dxa" w:w="120"/>
            </w:tcMar>
          </w:tcPr>
          <w:p>
            <w:r>
              <w:rPr>
                <w:rFonts w:ascii="Lato" w:cs="Lato" w:eastAsia="Lato" w:hAnsi="Lato"/>
                <w:color w:val="2C3E35"/>
                <w:sz w:val="20"/>
                <w:szCs w:val="20"/>
              </w:rPr>
              <w:t xml:space="preserve">Plain text only — no rich formatting available</w:t>
            </w:r>
          </w:p>
        </w:tc>
      </w:tr>
    </w:tbl>
    <w:p>
      <w:pPr>
        <w:spacing w:after="0" w:before="160"/>
      </w:pPr>
      <w:r>
        <w:t xml:space="preserve"/>
      </w:r>
    </w:p>
    <w:p>
      <w:pPr>
        <w:spacing w:after="100" w:before="280"/>
      </w:pPr>
      <w:r>
        <w:rPr>
          <w:rFonts w:ascii="Lato" w:cs="Lato" w:eastAsia="Lato" w:hAnsi="Lato"/>
          <w:b/>
          <w:bCs/>
          <w:color w:val="3D6B4F"/>
          <w:sz w:val="26"/>
          <w:szCs w:val="26"/>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Display</w:t>
            </w:r>
          </w:p>
        </w:tc>
        <w:tc>
          <w:tcPr>
            <w:tcW w:type="dxa" w:w="67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36–48pt  •  Bold  •  Lato  •  Deep Forest</w:t>
            </w:r>
          </w:p>
        </w:tc>
      </w:tr>
      <w:tr>
        <w:tc>
          <w:tcPr>
            <w:tcW w:type="dxa" w:w="260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b/>
                <w:bCs/>
                <w:color w:val="3D6B4F"/>
                <w:sz w:val="20"/>
                <w:szCs w:val="20"/>
              </w:rPr>
              <w:t xml:space="preserve">Heading 1</w:t>
            </w:r>
          </w:p>
        </w:tc>
        <w:tc>
          <w:tcPr>
            <w:tcW w:type="dxa" w:w="6760"/>
            <w:tcBorders>
              <w:top w:val="single" w:color="D9D4CA" w:sz="1"/>
              <w:left w:val="single" w:color="D9D4CA" w:sz="1"/>
              <w:bottom w:val="single" w:color="D9D4CA" w:sz="1"/>
              <w:right w:val="single" w:color="D9D4CA" w:sz="1"/>
            </w:tcBorders>
            <w:shd w:fill="FAFAF7" w:val="clear"/>
            <w:tcMar>
              <w:top w:type="dxa" w:w="100"/>
              <w:left w:type="dxa" w:w="160"/>
              <w:bottom w:type="dxa" w:w="100"/>
              <w:right w:type="dxa" w:w="120"/>
            </w:tcMar>
          </w:tcPr>
          <w:p>
            <w:r>
              <w:rPr>
                <w:rFonts w:ascii="Lato" w:cs="Lato" w:eastAsia="Lato" w:hAnsi="Lato"/>
                <w:color w:val="2C3E35"/>
                <w:sz w:val="20"/>
                <w:szCs w:val="20"/>
              </w:rPr>
              <w:t xml:space="preserve">28–32pt  •  Bold  •  Lato  •  Deep Forest</w:t>
            </w:r>
          </w:p>
        </w:tc>
      </w:tr>
      <w:tr>
        <w:tc>
          <w:tcPr>
            <w:tcW w:type="dxa" w:w="26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Heading 2</w:t>
            </w:r>
          </w:p>
        </w:tc>
        <w:tc>
          <w:tcPr>
            <w:tcW w:type="dxa" w:w="67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22–24pt  •  SemiBold  •  Lato  •  Sage Green</w:t>
            </w:r>
          </w:p>
        </w:tc>
      </w:tr>
      <w:tr>
        <w:tc>
          <w:tcPr>
            <w:tcW w:type="dxa" w:w="260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b/>
                <w:bCs/>
                <w:color w:val="3D6B4F"/>
                <w:sz w:val="20"/>
                <w:szCs w:val="20"/>
              </w:rPr>
              <w:t xml:space="preserve">Body</w:t>
            </w:r>
          </w:p>
        </w:tc>
        <w:tc>
          <w:tcPr>
            <w:tcW w:type="dxa" w:w="6760"/>
            <w:tcBorders>
              <w:top w:val="single" w:color="D9D4CA" w:sz="1"/>
              <w:left w:val="single" w:color="D9D4CA" w:sz="1"/>
              <w:bottom w:val="single" w:color="D9D4CA" w:sz="1"/>
              <w:right w:val="single" w:color="D9D4CA" w:sz="1"/>
            </w:tcBorders>
            <w:shd w:fill="FAFAF7" w:val="clear"/>
            <w:tcMar>
              <w:top w:type="dxa" w:w="100"/>
              <w:left w:type="dxa" w:w="160"/>
              <w:bottom w:type="dxa" w:w="100"/>
              <w:right w:type="dxa" w:w="120"/>
            </w:tcMar>
          </w:tcPr>
          <w:p>
            <w:r>
              <w:rPr>
                <w:rFonts w:ascii="Lato" w:cs="Lato" w:eastAsia="Lato" w:hAnsi="Lato"/>
                <w:color w:val="2C3E35"/>
                <w:sz w:val="20"/>
                <w:szCs w:val="20"/>
              </w:rPr>
              <w:t xml:space="preserve">11–12pt  •  Regular  •  Lato  •  Deep Forest</w:t>
            </w:r>
          </w:p>
        </w:tc>
      </w:tr>
      <w:tr>
        <w:tc>
          <w:tcPr>
            <w:tcW w:type="dxa" w:w="26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Caption</w:t>
            </w:r>
          </w:p>
        </w:tc>
        <w:tc>
          <w:tcPr>
            <w:tcW w:type="dxa" w:w="67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9–10pt  •  Medium  •  Lato  •  Muted Sage</w:t>
            </w:r>
          </w:p>
        </w:tc>
      </w:tr>
      <w:tr>
        <w:tc>
          <w:tcPr>
            <w:tcW w:type="dxa" w:w="260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b/>
                <w:bCs/>
                <w:color w:val="3D6B4F"/>
                <w:sz w:val="20"/>
                <w:szCs w:val="20"/>
              </w:rPr>
              <w:t xml:space="preserve">Pull Quote</w:t>
            </w:r>
          </w:p>
        </w:tc>
        <w:tc>
          <w:tcPr>
            <w:tcW w:type="dxa" w:w="6760"/>
            <w:tcBorders>
              <w:top w:val="single" w:color="D9D4CA" w:sz="1"/>
              <w:left w:val="single" w:color="D9D4CA" w:sz="1"/>
              <w:bottom w:val="single" w:color="D9D4CA" w:sz="1"/>
              <w:right w:val="single" w:color="D9D4CA" w:sz="1"/>
            </w:tcBorders>
            <w:shd w:fill="FAFAF7" w:val="clear"/>
            <w:tcMar>
              <w:top w:type="dxa" w:w="100"/>
              <w:left w:type="dxa" w:w="160"/>
              <w:bottom w:type="dxa" w:w="100"/>
              <w:right w:type="dxa" w:w="120"/>
            </w:tcMar>
          </w:tcPr>
          <w:p>
            <w:r>
              <w:rPr>
                <w:rFonts w:ascii="Lato" w:cs="Lato" w:eastAsia="Lato" w:hAnsi="Lato"/>
                <w:color w:val="2C3E35"/>
                <w:sz w:val="20"/>
                <w:szCs w:val="20"/>
              </w:rPr>
              <w:t xml:space="preserve">14–16pt  •  Italic  •  Merriweather  •  Terracotta</w:t>
            </w:r>
          </w:p>
        </w:tc>
      </w:tr>
    </w:tbl>
    <w:p>
      <w:pPr>
        <w:pBdr>
          <w:bottom w:val="single" w:color="E2DBD0" w:sz="2" w:space="1"/>
        </w:pBdr>
        <w:spacing w:after="280" w:before="280"/>
      </w:pPr>
      <w:r>
        <w:t xml:space="preserve"/>
      </w:r>
    </w:p>
    <w:p>
      <w:pPr>
        <w:pBdr>
          <w:bottom w:val="single" w:color="3D6B4F" w:sz="8" w:space="6"/>
        </w:pBdr>
        <w:spacing w:after="160" w:before="480"/>
      </w:pPr>
      <w:r>
        <w:rPr>
          <w:rFonts w:ascii="Lato" w:cs="Lato" w:eastAsia="Lato" w:hAnsi="Lato"/>
          <w:b/>
          <w:bCs/>
          <w:color w:val="2C3E35"/>
          <w:sz w:val="38"/>
          <w:szCs w:val="38"/>
        </w:rPr>
        <w:t xml:space="preserve">07  Wordmark &amp; Logo Usage</w:t>
      </w:r>
    </w:p>
    <w:p>
      <w:pPr>
        <w:spacing w:after="80" w:before="80"/>
      </w:pPr>
      <w:r>
        <w:rPr>
          <w:rFonts w:ascii="Lato" w:cs="Lato" w:eastAsia="Lato" w:hAnsi="Lato"/>
          <w:color w:val="2C3E35"/>
          <w:sz w:val="22"/>
          <w:szCs w:val="22"/>
        </w:rPr>
        <w:t xml:space="preserve">Until a formal logo is commissioned, the Riya Mittal wordmark is her name set in Lato Bold at display size, in Sage Green. It is the consistent visual anchor across all touchpoints.</w:t>
      </w:r>
    </w:p>
    <w:p>
      <w:pPr>
        <w:spacing w:after="0" w:before="160"/>
      </w:pPr>
      <w:r>
        <w:t xml:space="preserve"/>
      </w:r>
    </w:p>
    <w:p>
      <w:pPr>
        <w:spacing w:after="80" w:before="100"/>
      </w:pPr>
      <w:r>
        <w:rPr>
          <w:rFonts w:ascii="Lato" w:cs="Lato" w:eastAsia="Lato" w:hAnsi="Lato"/>
          <w:b/>
          <w:bCs/>
          <w:color w:val="3D6B4F"/>
          <w:sz w:val="72"/>
          <w:szCs w:val="72"/>
        </w:rPr>
        <w:t xml:space="preserve">Riya Mittal</w:t>
      </w:r>
    </w:p>
    <w:p>
      <w:pPr>
        <w:spacing w:after="200" w:before="0"/>
      </w:pPr>
      <w:r>
        <w:rPr>
          <w:rFonts w:ascii="Lato" w:cs="Lato" w:eastAsia="Lato" w:hAnsi="Lato"/>
          <w:color w:val="C2714F"/>
          <w:sz w:val="22"/>
          <w:szCs w:val="22"/>
        </w:rPr>
        <w:t xml:space="preserve">Marketing Consultant  •  Storytelling &amp; Audience Growth for Purpose-Driven Brands</w:t>
      </w:r>
    </w:p>
    <w:p>
      <w:pPr>
        <w:spacing w:after="0" w:before="80"/>
      </w:pPr>
      <w:r>
        <w:t xml:space="preserve"/>
      </w:r>
    </w:p>
    <w:p>
      <w:pPr>
        <w:spacing w:after="100" w:before="280"/>
      </w:pPr>
      <w:r>
        <w:rPr>
          <w:rFonts w:ascii="Lato" w:cs="Lato" w:eastAsia="Lato" w:hAnsi="Lato"/>
          <w:b/>
          <w:bCs/>
          <w:color w:val="3D6B4F"/>
          <w:sz w:val="26"/>
          <w:szCs w:val="26"/>
        </w:rPr>
        <w:t xml:space="preserve">Logo Rules</w:t>
      </w:r>
    </w:p>
    <w:p>
      <w:pPr>
        <w:pStyle w:val="ListParagraph"/>
        <w:numPr>
          <w:ilvl w:val="0"/>
          <w:numId w:val="2"/>
        </w:numPr>
        <w:spacing w:after="60" w:before="60"/>
      </w:pPr>
      <w:r>
        <w:rPr>
          <w:rFonts w:ascii="Lato" w:cs="Lato" w:eastAsia="Lato" w:hAnsi="Lato"/>
          <w:b w:val="false"/>
          <w:bCs w:val="false"/>
          <w:color w:val="2C3E35"/>
          <w:sz w:val="22"/>
          <w:szCs w:val="22"/>
        </w:rPr>
        <w:t xml:space="preserve">Always Sage Green (#3D6B4F) on light backgrounds</w:t>
      </w:r>
    </w:p>
    <w:p>
      <w:pPr>
        <w:pStyle w:val="ListParagraph"/>
        <w:numPr>
          <w:ilvl w:val="0"/>
          <w:numId w:val="2"/>
        </w:numPr>
        <w:spacing w:after="60" w:before="60"/>
      </w:pPr>
      <w:r>
        <w:rPr>
          <w:rFonts w:ascii="Lato" w:cs="Lato" w:eastAsia="Lato" w:hAnsi="Lato"/>
          <w:b w:val="false"/>
          <w:bCs w:val="false"/>
          <w:color w:val="2C3E35"/>
          <w:sz w:val="22"/>
          <w:szCs w:val="22"/>
        </w:rPr>
        <w:t xml:space="preserve">On dark backgrounds, use Warm Cream (#F5F0E8)</w:t>
      </w:r>
    </w:p>
    <w:p>
      <w:pPr>
        <w:pStyle w:val="ListParagraph"/>
        <w:numPr>
          <w:ilvl w:val="0"/>
          <w:numId w:val="2"/>
        </w:numPr>
        <w:spacing w:after="60" w:before="60"/>
      </w:pPr>
      <w:r>
        <w:rPr>
          <w:rFonts w:ascii="Lato" w:cs="Lato" w:eastAsia="Lato" w:hAnsi="Lato"/>
          <w:b w:val="false"/>
          <w:bCs w:val="false"/>
          <w:color w:val="2C3E35"/>
          <w:sz w:val="22"/>
          <w:szCs w:val="22"/>
        </w:rPr>
        <w:t xml:space="preserve">Never stretch, rotate, recolor, or apply effects to the wordmark</w:t>
      </w:r>
    </w:p>
    <w:p>
      <w:pPr>
        <w:pStyle w:val="ListParagraph"/>
        <w:numPr>
          <w:ilvl w:val="0"/>
          <w:numId w:val="2"/>
        </w:numPr>
        <w:spacing w:after="60" w:before="60"/>
      </w:pPr>
      <w:r>
        <w:rPr>
          <w:rFonts w:ascii="Lato" w:cs="Lato" w:eastAsia="Lato" w:hAnsi="Lato"/>
          <w:b w:val="false"/>
          <w:bCs w:val="false"/>
          <w:color w:val="2C3E35"/>
          <w:sz w:val="22"/>
          <w:szCs w:val="22"/>
        </w:rPr>
        <w:t xml:space="preserve">Clear space = the cap-height of the 'R' on all four sides</w:t>
      </w:r>
    </w:p>
    <w:p>
      <w:pPr>
        <w:pStyle w:val="ListParagraph"/>
        <w:numPr>
          <w:ilvl w:val="0"/>
          <w:numId w:val="2"/>
        </w:numPr>
        <w:spacing w:after="60" w:before="60"/>
      </w:pPr>
      <w:r>
        <w:rPr>
          <w:rFonts w:ascii="Lato" w:cs="Lato" w:eastAsia="Lato" w:hAnsi="Lato"/>
          <w:b w:val="false"/>
          <w:bCs w:val="false"/>
          <w:color w:val="2C3E35"/>
          <w:sz w:val="22"/>
          <w:szCs w:val="22"/>
        </w:rPr>
        <w:t xml:space="preserve">Never place on a busy photographic background without a solid color block underneath</w:t>
      </w:r>
    </w:p>
    <w:p>
      <w:pPr>
        <w:pBdr>
          <w:bottom w:val="single" w:color="E2DBD0" w:sz="2" w:space="1"/>
        </w:pBdr>
        <w:spacing w:after="280" w:before="280"/>
      </w:pPr>
      <w:r>
        <w:t xml:space="preserve"/>
      </w:r>
    </w:p>
    <w:p>
      <w:pPr>
        <w:pBdr>
          <w:bottom w:val="single" w:color="3D6B4F" w:sz="8" w:space="6"/>
        </w:pBdr>
        <w:spacing w:after="160" w:before="480"/>
      </w:pPr>
      <w:r>
        <w:rPr>
          <w:rFonts w:ascii="Lato" w:cs="Lato" w:eastAsia="Lato" w:hAnsi="Lato"/>
          <w:b/>
          <w:bCs/>
          <w:color w:val="2C3E35"/>
          <w:sz w:val="38"/>
          <w:szCs w:val="38"/>
        </w:rPr>
        <w:t xml:space="preserve">08  LinkedIn Presence</w:t>
      </w:r>
    </w:p>
    <w:p>
      <w:pPr>
        <w:spacing w:after="80" w:before="80"/>
      </w:pPr>
      <w:r>
        <w:rPr>
          <w:rFonts w:ascii="Lato" w:cs="Lato" w:eastAsia="Lato" w:hAnsi="Lato"/>
          <w:color w:val="2C3E35"/>
          <w:sz w:val="22"/>
          <w:szCs w:val="22"/>
        </w:rPr>
        <w:t xml:space="preserve">LinkedIn is Riya's primary platform — where clients discover her, where trust is built publicly, and where her consulting brand takes shape. Every element should be intentional.</w:t>
      </w:r>
    </w:p>
    <w:p>
      <w:pPr>
        <w:spacing w:after="0" w:before="120"/>
      </w:pPr>
      <w:r>
        <w:t xml:space="preserve"/>
      </w:r>
    </w:p>
    <w:p>
      <w:pPr>
        <w:spacing w:after="100" w:before="280"/>
      </w:pPr>
      <w:r>
        <w:rPr>
          <w:rFonts w:ascii="Lato" w:cs="Lato" w:eastAsia="Lato" w:hAnsi="Lato"/>
          <w:b/>
          <w:bCs/>
          <w:color w:val="3D6B4F"/>
          <w:sz w:val="26"/>
          <w:szCs w:val="26"/>
        </w:rPr>
        <w:t xml:space="preserve">Profile Essentials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Headline</w:t>
            </w:r>
          </w:p>
        </w:tc>
        <w:tc>
          <w:tcPr>
            <w:tcW w:type="dxa" w:w="67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Marketing Consultant | Storytelling &amp; Audience Growth for Purpose-Driven Brands</w:t>
            </w:r>
          </w:p>
        </w:tc>
      </w:tr>
      <w:tr>
        <w:tc>
          <w:tcPr>
            <w:tcW w:type="dxa" w:w="260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b/>
                <w:bCs/>
                <w:color w:val="3D6B4F"/>
                <w:sz w:val="20"/>
                <w:szCs w:val="20"/>
              </w:rPr>
              <w:t xml:space="preserve">About Section</w:t>
            </w:r>
          </w:p>
        </w:tc>
        <w:tc>
          <w:tcPr>
            <w:tcW w:type="dxa" w:w="6760"/>
            <w:tcBorders>
              <w:top w:val="single" w:color="D9D4CA" w:sz="1"/>
              <w:left w:val="single" w:color="D9D4CA" w:sz="1"/>
              <w:bottom w:val="single" w:color="D9D4CA" w:sz="1"/>
              <w:right w:val="single" w:color="D9D4CA" w:sz="1"/>
            </w:tcBorders>
            <w:shd w:fill="FAFAF7" w:val="clear"/>
            <w:tcMar>
              <w:top w:type="dxa" w:w="100"/>
              <w:left w:type="dxa" w:w="160"/>
              <w:bottom w:type="dxa" w:w="100"/>
              <w:right w:type="dxa" w:w="120"/>
            </w:tcMar>
          </w:tcPr>
          <w:p>
            <w:r>
              <w:rPr>
                <w:rFonts w:ascii="Lato" w:cs="Lato" w:eastAsia="Lato" w:hAnsi="Lato"/>
                <w:color w:val="2C3E35"/>
                <w:sz w:val="20"/>
                <w:szCs w:val="20"/>
              </w:rPr>
              <w:t xml:space="preserve">Lead with the founder story. Include 2–3 specific results. Close with who should reach out and why.</w:t>
            </w:r>
          </w:p>
        </w:tc>
      </w:tr>
      <w:tr>
        <w:tc>
          <w:tcPr>
            <w:tcW w:type="dxa" w:w="26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Banner</w:t>
            </w:r>
          </w:p>
        </w:tc>
        <w:tc>
          <w:tcPr>
            <w:tcW w:type="dxa" w:w="67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Sage green background. Name and tagline in Lato Bold. Warm Cream text.</w:t>
            </w:r>
          </w:p>
        </w:tc>
      </w:tr>
      <w:tr>
        <w:tc>
          <w:tcPr>
            <w:tcW w:type="dxa" w:w="260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b/>
                <w:bCs/>
                <w:color w:val="3D6B4F"/>
                <w:sz w:val="20"/>
                <w:szCs w:val="20"/>
              </w:rPr>
              <w:t xml:space="preserve">Profile Photo</w:t>
            </w:r>
          </w:p>
        </w:tc>
        <w:tc>
          <w:tcPr>
            <w:tcW w:type="dxa" w:w="6760"/>
            <w:tcBorders>
              <w:top w:val="single" w:color="D9D4CA" w:sz="1"/>
              <w:left w:val="single" w:color="D9D4CA" w:sz="1"/>
              <w:bottom w:val="single" w:color="D9D4CA" w:sz="1"/>
              <w:right w:val="single" w:color="D9D4CA" w:sz="1"/>
            </w:tcBorders>
            <w:shd w:fill="FAFAF7" w:val="clear"/>
            <w:tcMar>
              <w:top w:type="dxa" w:w="100"/>
              <w:left w:type="dxa" w:w="160"/>
              <w:bottom w:type="dxa" w:w="100"/>
              <w:right w:type="dxa" w:w="120"/>
            </w:tcMar>
          </w:tcPr>
          <w:p>
            <w:r>
              <w:rPr>
                <w:rFonts w:ascii="Lato" w:cs="Lato" w:eastAsia="Lato" w:hAnsi="Lato"/>
                <w:color w:val="2C3E35"/>
                <w:sz w:val="20"/>
                <w:szCs w:val="20"/>
              </w:rPr>
              <w:t xml:space="preserve">Warm, natural lighting. Genuine expression. Consistent across all platforms.</w:t>
            </w:r>
          </w:p>
        </w:tc>
      </w:tr>
      <w:tr>
        <w:tc>
          <w:tcPr>
            <w:tcW w:type="dxa" w:w="26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Featured Section</w:t>
            </w:r>
          </w:p>
        </w:tc>
        <w:tc>
          <w:tcPr>
            <w:tcW w:type="dxa" w:w="67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Pin: Dyslex-Aid story, one strong client result post, one piece that shows strategic thinking</w:t>
            </w:r>
          </w:p>
        </w:tc>
      </w:tr>
      <w:tr>
        <w:tc>
          <w:tcPr>
            <w:tcW w:type="dxa" w:w="260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b/>
                <w:bCs/>
                <w:color w:val="3D6B4F"/>
                <w:sz w:val="20"/>
                <w:szCs w:val="20"/>
              </w:rPr>
              <w:t xml:space="preserve">Creator Mode</w:t>
            </w:r>
          </w:p>
        </w:tc>
        <w:tc>
          <w:tcPr>
            <w:tcW w:type="dxa" w:w="6760"/>
            <w:tcBorders>
              <w:top w:val="single" w:color="D9D4CA" w:sz="1"/>
              <w:left w:val="single" w:color="D9D4CA" w:sz="1"/>
              <w:bottom w:val="single" w:color="D9D4CA" w:sz="1"/>
              <w:right w:val="single" w:color="D9D4CA" w:sz="1"/>
            </w:tcBorders>
            <w:shd w:fill="FAFAF7" w:val="clear"/>
            <w:tcMar>
              <w:top w:type="dxa" w:w="100"/>
              <w:left w:type="dxa" w:w="160"/>
              <w:bottom w:type="dxa" w:w="100"/>
              <w:right w:type="dxa" w:w="120"/>
            </w:tcMar>
          </w:tcPr>
          <w:p>
            <w:r>
              <w:rPr>
                <w:rFonts w:ascii="Lato" w:cs="Lato" w:eastAsia="Lato" w:hAnsi="Lato"/>
                <w:color w:val="2C3E35"/>
                <w:sz w:val="20"/>
                <w:szCs w:val="20"/>
              </w:rPr>
              <w:t xml:space="preserve">On. Sets the profile up for content distribution and follower growth.</w:t>
            </w:r>
          </w:p>
        </w:tc>
      </w:tr>
    </w:tbl>
    <w:p>
      <w:pPr>
        <w:spacing w:after="0" w:before="160"/>
      </w:pPr>
      <w:r>
        <w:t xml:space="preserve"/>
      </w:r>
    </w:p>
    <w:p>
      <w:pPr>
        <w:spacing w:after="100" w:before="280"/>
      </w:pPr>
      <w:r>
        <w:rPr>
          <w:rFonts w:ascii="Lato" w:cs="Lato" w:eastAsia="Lato" w:hAnsi="Lato"/>
          <w:b/>
          <w:bCs/>
          <w:color w:val="3D6B4F"/>
          <w:sz w:val="26"/>
          <w:szCs w:val="26"/>
        </w:rPr>
        <w:t xml:space="preserve">Content Pillars</w:t>
      </w:r>
    </w:p>
    <w:p>
      <w:pPr>
        <w:pStyle w:val="ListParagraph"/>
        <w:numPr>
          <w:ilvl w:val="0"/>
          <w:numId w:val="2"/>
        </w:numPr>
        <w:spacing w:after="60" w:before="60"/>
      </w:pPr>
      <w:r>
        <w:rPr>
          <w:rFonts w:ascii="Lato" w:cs="Lato" w:eastAsia="Lato" w:hAnsi="Lato"/>
          <w:b w:val="false"/>
          <w:bCs w:val="false"/>
          <w:color w:val="2C3E35"/>
          <w:sz w:val="22"/>
          <w:szCs w:val="22"/>
        </w:rPr>
        <w:t xml:space="preserve">Storytelling as strategy — how narrative drives real audience and donor growth</w:t>
      </w:r>
    </w:p>
    <w:p>
      <w:pPr>
        <w:pStyle w:val="ListParagraph"/>
        <w:numPr>
          <w:ilvl w:val="0"/>
          <w:numId w:val="2"/>
        </w:numPr>
        <w:spacing w:after="60" w:before="60"/>
      </w:pPr>
      <w:r>
        <w:rPr>
          <w:rFonts w:ascii="Lato" w:cs="Lato" w:eastAsia="Lato" w:hAnsi="Lato"/>
          <w:b w:val="false"/>
          <w:bCs w:val="false"/>
          <w:color w:val="2C3E35"/>
          <w:sz w:val="22"/>
          <w:szCs w:val="22"/>
        </w:rPr>
        <w:t xml:space="preserve">Audience growth for impact orgs — what works, what doesn't, with honest numbers</w:t>
      </w:r>
    </w:p>
    <w:p>
      <w:pPr>
        <w:pStyle w:val="ListParagraph"/>
        <w:numPr>
          <w:ilvl w:val="0"/>
          <w:numId w:val="2"/>
        </w:numPr>
        <w:spacing w:after="60" w:before="60"/>
      </w:pPr>
      <w:r>
        <w:rPr>
          <w:rFonts w:ascii="Lato" w:cs="Lato" w:eastAsia="Lato" w:hAnsi="Lato"/>
          <w:b w:val="false"/>
          <w:bCs w:val="false"/>
          <w:color w:val="2C3E35"/>
          <w:sz w:val="22"/>
          <w:szCs w:val="22"/>
        </w:rPr>
        <w:t xml:space="preserve">The Dyslex-Aid story — building, pitching, failing, winning, and what it taught her</w:t>
      </w:r>
    </w:p>
    <w:p>
      <w:pPr>
        <w:pStyle w:val="ListParagraph"/>
        <w:numPr>
          <w:ilvl w:val="0"/>
          <w:numId w:val="2"/>
        </w:numPr>
        <w:spacing w:after="60" w:before="60"/>
      </w:pPr>
      <w:r>
        <w:rPr>
          <w:rFonts w:ascii="Lato" w:cs="Lato" w:eastAsia="Lato" w:hAnsi="Lato"/>
          <w:b w:val="false"/>
          <w:bCs w:val="false"/>
          <w:color w:val="2C3E35"/>
          <w:sz w:val="22"/>
          <w:szCs w:val="22"/>
        </w:rPr>
        <w:t xml:space="preserve">Behind the work — transparent looks at consulting process, client challenges, and decisions</w:t>
      </w:r>
    </w:p>
    <w:p>
      <w:pPr>
        <w:pStyle w:val="ListParagraph"/>
        <w:numPr>
          <w:ilvl w:val="0"/>
          <w:numId w:val="2"/>
        </w:numPr>
        <w:spacing w:after="60" w:before="60"/>
      </w:pPr>
      <w:r>
        <w:rPr>
          <w:rFonts w:ascii="Lato" w:cs="Lato" w:eastAsia="Lato" w:hAnsi="Lato"/>
          <w:b w:val="false"/>
          <w:bCs w:val="false"/>
          <w:color w:val="2C3E35"/>
          <w:sz w:val="22"/>
          <w:szCs w:val="22"/>
        </w:rPr>
        <w:t xml:space="preserve">Purpose and systems — why impact-led organisations struggle with marketing and how to fix it</w:t>
      </w:r>
    </w:p>
    <w:p>
      <w:pPr>
        <w:pBdr>
          <w:bottom w:val="single" w:color="E2DBD0" w:sz="2" w:space="1"/>
        </w:pBdr>
        <w:spacing w:after="280" w:before="280"/>
      </w:pPr>
      <w:r>
        <w:t xml:space="preserve"/>
      </w:r>
    </w:p>
    <w:p>
      <w:pPr>
        <w:pBdr>
          <w:bottom w:val="single" w:color="3D6B4F" w:sz="8" w:space="6"/>
        </w:pBdr>
        <w:spacing w:after="160" w:before="480"/>
      </w:pPr>
      <w:r>
        <w:rPr>
          <w:rFonts w:ascii="Lato" w:cs="Lato" w:eastAsia="Lato" w:hAnsi="Lato"/>
          <w:b/>
          <w:bCs/>
          <w:color w:val="2C3E35"/>
          <w:sz w:val="38"/>
          <w:szCs w:val="38"/>
        </w:rPr>
        <w:t xml:space="preserve">09  Consulting Firm Direction</w:t>
      </w:r>
    </w:p>
    <w:p>
      <w:pPr>
        <w:spacing w:after="80" w:before="80"/>
      </w:pPr>
      <w:r>
        <w:rPr>
          <w:rFonts w:ascii="Lato" w:cs="Lato" w:eastAsia="Lato" w:hAnsi="Lato"/>
          <w:color w:val="2C3E35"/>
          <w:sz w:val="22"/>
          <w:szCs w:val="22"/>
        </w:rPr>
        <w:t xml:space="preserve">As Riya builds toward her own firm, the brand should scale naturally from personal to studio — inheriting her values, her aesthetic, and her voice, amplified for a team context.</w:t>
      </w:r>
    </w:p>
    <w:p>
      <w:pPr>
        <w:spacing w:after="0" w:before="120"/>
      </w:pPr>
      <w:r>
        <w:t xml:space="preserve"/>
      </w:r>
    </w:p>
    <w:p>
      <w:pPr>
        <w:spacing w:after="100" w:before="280"/>
      </w:pPr>
      <w:r>
        <w:rPr>
          <w:rFonts w:ascii="Lato" w:cs="Lato" w:eastAsia="Lato" w:hAnsi="Lato"/>
          <w:b/>
          <w:bCs/>
          <w:color w:val="3D6B4F"/>
          <w:sz w:val="26"/>
          <w:szCs w:val="26"/>
        </w:rPr>
        <w:t xml:space="preserve">Firm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D6B4F" w:sz="28"/>
              <w:bottom w:val="none" w:color="FFFFFF" w:sz="0"/>
              <w:right w:val="none" w:color="FFFFFF" w:sz="0"/>
            </w:tcBorders>
            <w:shd w:fill="EEF4EF" w:val="clear"/>
            <w:tcMar>
              <w:top w:type="dxa" w:w="180"/>
              <w:left w:type="dxa" w:w="280"/>
              <w:bottom w:type="dxa" w:w="180"/>
              <w:right w:type="dxa" w:w="200"/>
            </w:tcMar>
          </w:tcPr>
          <w:p>
            <w:r>
              <w:rPr>
                <w:rFonts w:ascii="Lato" w:cs="Lato" w:eastAsia="Lato" w:hAnsi="Lato"/>
                <w:i/>
                <w:iCs/>
                <w:color w:val="2C3E35"/>
                <w:sz w:val="23"/>
                <w:szCs w:val="23"/>
              </w:rPr>
              <w:t xml:space="preserve">A boutique marketing consultancy for nonprofits, education organisations, and purpose-driven brands — helping them find the story only they can tell, and the audience that was always waiting to hear it.</w:t>
            </w:r>
          </w:p>
        </w:tc>
      </w:tr>
    </w:tbl>
    <w:p>
      <w:pPr>
        <w:spacing w:after="0" w:before="160"/>
      </w:pPr>
      <w:r>
        <w:t xml:space="preserve"/>
      </w:r>
    </w:p>
    <w:p>
      <w:pPr>
        <w:spacing w:after="100" w:before="280"/>
      </w:pPr>
      <w:r>
        <w:rPr>
          <w:rFonts w:ascii="Lato" w:cs="Lato" w:eastAsia="Lato" w:hAnsi="Lato"/>
          <w:b/>
          <w:bCs/>
          <w:color w:val="3D6B4F"/>
          <w:sz w:val="26"/>
          <w:szCs w:val="26"/>
        </w:rPr>
        <w:t xml:space="preserve">Core Values for the 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Impact First</w:t>
            </w:r>
          </w:p>
        </w:tc>
        <w:tc>
          <w:tcPr>
            <w:tcW w:type="dxa" w:w="67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Every strategy begins with the client's mission, not their metrics.</w:t>
            </w:r>
          </w:p>
        </w:tc>
      </w:tr>
      <w:tr>
        <w:tc>
          <w:tcPr>
            <w:tcW w:type="dxa" w:w="260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b/>
                <w:bCs/>
                <w:color w:val="3D6B4F"/>
                <w:sz w:val="20"/>
                <w:szCs w:val="20"/>
              </w:rPr>
              <w:t xml:space="preserve">Story as Method</w:t>
            </w:r>
          </w:p>
        </w:tc>
        <w:tc>
          <w:tcPr>
            <w:tcW w:type="dxa" w:w="6760"/>
            <w:tcBorders>
              <w:top w:val="single" w:color="D9D4CA" w:sz="1"/>
              <w:left w:val="single" w:color="D9D4CA" w:sz="1"/>
              <w:bottom w:val="single" w:color="D9D4CA" w:sz="1"/>
              <w:right w:val="single" w:color="D9D4CA" w:sz="1"/>
            </w:tcBorders>
            <w:shd w:fill="FAFAF7" w:val="clear"/>
            <w:tcMar>
              <w:top w:type="dxa" w:w="100"/>
              <w:left w:type="dxa" w:w="160"/>
              <w:bottom w:type="dxa" w:w="100"/>
              <w:right w:type="dxa" w:w="120"/>
            </w:tcMar>
          </w:tcPr>
          <w:p>
            <w:r>
              <w:rPr>
                <w:rFonts w:ascii="Lato" w:cs="Lato" w:eastAsia="Lato" w:hAnsi="Lato"/>
                <w:color w:val="2C3E35"/>
                <w:sz w:val="20"/>
                <w:szCs w:val="20"/>
              </w:rPr>
              <w:t xml:space="preserve">Narrative is not decoration. It is the mechanism through which audiences grow and donors give.</w:t>
            </w:r>
          </w:p>
        </w:tc>
      </w:tr>
      <w:tr>
        <w:tc>
          <w:tcPr>
            <w:tcW w:type="dxa" w:w="26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Radical Clarity</w:t>
            </w:r>
          </w:p>
        </w:tc>
        <w:tc>
          <w:tcPr>
            <w:tcW w:type="dxa" w:w="67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No jargon. No vague strategy documents. Clear thinking, plain language, real outcomes.</w:t>
            </w:r>
          </w:p>
        </w:tc>
      </w:tr>
      <w:tr>
        <w:tc>
          <w:tcPr>
            <w:tcW w:type="dxa" w:w="260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b/>
                <w:bCs/>
                <w:color w:val="3D6B4F"/>
                <w:sz w:val="20"/>
                <w:szCs w:val="20"/>
              </w:rPr>
              <w:t xml:space="preserve">Lived Credibility</w:t>
            </w:r>
          </w:p>
        </w:tc>
        <w:tc>
          <w:tcPr>
            <w:tcW w:type="dxa" w:w="6760"/>
            <w:tcBorders>
              <w:top w:val="single" w:color="D9D4CA" w:sz="1"/>
              <w:left w:val="single" w:color="D9D4CA" w:sz="1"/>
              <w:bottom w:val="single" w:color="D9D4CA" w:sz="1"/>
              <w:right w:val="single" w:color="D9D4CA" w:sz="1"/>
            </w:tcBorders>
            <w:shd w:fill="FAFAF7" w:val="clear"/>
            <w:tcMar>
              <w:top w:type="dxa" w:w="100"/>
              <w:left w:type="dxa" w:w="160"/>
              <w:bottom w:type="dxa" w:w="100"/>
              <w:right w:type="dxa" w:w="120"/>
            </w:tcMar>
          </w:tcPr>
          <w:p>
            <w:r>
              <w:rPr>
                <w:rFonts w:ascii="Lato" w:cs="Lato" w:eastAsia="Lato" w:hAnsi="Lato"/>
                <w:color w:val="2C3E35"/>
                <w:sz w:val="20"/>
                <w:szCs w:val="20"/>
              </w:rPr>
              <w:t xml:space="preserve">We understand purpose-driven work from the inside — not as outsiders offering advice.</w:t>
            </w:r>
          </w:p>
        </w:tc>
      </w:tr>
      <w:tr>
        <w:tc>
          <w:tcPr>
            <w:tcW w:type="dxa" w:w="2600"/>
            <w:tcBorders>
              <w:top w:val="single" w:color="D9D4CA" w:sz="1"/>
              <w:left w:val="single" w:color="D9D4CA" w:sz="1"/>
              <w:bottom w:val="single" w:color="D9D4CA" w:sz="1"/>
              <w:right w:val="single" w:color="D9D4CA" w:sz="1"/>
            </w:tcBorders>
            <w:shd w:fill="EDF3EF" w:val="clear"/>
            <w:tcMar>
              <w:top w:type="dxa" w:w="100"/>
              <w:left w:type="dxa" w:w="160"/>
              <w:bottom w:type="dxa" w:w="100"/>
              <w:right w:type="dxa" w:w="120"/>
            </w:tcMar>
          </w:tcPr>
          <w:p>
            <w:r>
              <w:rPr>
                <w:rFonts w:ascii="Lato" w:cs="Lato" w:eastAsia="Lato" w:hAnsi="Lato"/>
                <w:b/>
                <w:bCs/>
                <w:color w:val="3D6B4F"/>
                <w:sz w:val="20"/>
                <w:szCs w:val="20"/>
              </w:rPr>
              <w:t xml:space="preserve">Sustainable Growth</w:t>
            </w:r>
          </w:p>
        </w:tc>
        <w:tc>
          <w:tcPr>
            <w:tcW w:type="dxa" w:w="676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color w:val="2C3E35"/>
                <w:sz w:val="20"/>
                <w:szCs w:val="20"/>
              </w:rPr>
              <w:t xml:space="preserve">We build audiences that stay. Loyal communities, not vanity spikes.</w:t>
            </w:r>
          </w:p>
        </w:tc>
      </w:tr>
      <w:tr>
        <w:tc>
          <w:tcPr>
            <w:tcW w:type="dxa" w:w="2600"/>
            <w:tcBorders>
              <w:top w:val="single" w:color="D9D4CA" w:sz="1"/>
              <w:left w:val="single" w:color="D9D4CA" w:sz="1"/>
              <w:bottom w:val="single" w:color="D9D4CA" w:sz="1"/>
              <w:right w:val="single" w:color="D9D4CA" w:sz="1"/>
            </w:tcBorders>
            <w:shd w:fill="FFFFFF" w:val="clear"/>
            <w:tcMar>
              <w:top w:type="dxa" w:w="100"/>
              <w:left w:type="dxa" w:w="160"/>
              <w:bottom w:type="dxa" w:w="100"/>
              <w:right w:type="dxa" w:w="120"/>
            </w:tcMar>
          </w:tcPr>
          <w:p>
            <w:r>
              <w:rPr>
                <w:rFonts w:ascii="Lato" w:cs="Lato" w:eastAsia="Lato" w:hAnsi="Lato"/>
                <w:b/>
                <w:bCs/>
                <w:color w:val="3D6B4F"/>
                <w:sz w:val="20"/>
                <w:szCs w:val="20"/>
              </w:rPr>
              <w:t xml:space="preserve">Honest Partnership</w:t>
            </w:r>
          </w:p>
        </w:tc>
        <w:tc>
          <w:tcPr>
            <w:tcW w:type="dxa" w:w="6760"/>
            <w:tcBorders>
              <w:top w:val="single" w:color="D9D4CA" w:sz="1"/>
              <w:left w:val="single" w:color="D9D4CA" w:sz="1"/>
              <w:bottom w:val="single" w:color="D9D4CA" w:sz="1"/>
              <w:right w:val="single" w:color="D9D4CA" w:sz="1"/>
            </w:tcBorders>
            <w:shd w:fill="FAFAF7" w:val="clear"/>
            <w:tcMar>
              <w:top w:type="dxa" w:w="100"/>
              <w:left w:type="dxa" w:w="160"/>
              <w:bottom w:type="dxa" w:w="100"/>
              <w:right w:type="dxa" w:w="120"/>
            </w:tcMar>
          </w:tcPr>
          <w:p>
            <w:r>
              <w:rPr>
                <w:rFonts w:ascii="Lato" w:cs="Lato" w:eastAsia="Lato" w:hAnsi="Lato"/>
                <w:color w:val="2C3E35"/>
                <w:sz w:val="20"/>
                <w:szCs w:val="20"/>
              </w:rPr>
              <w:t xml:space="preserve">We tell clients what is not working, not just what they want to hear.</w:t>
            </w:r>
          </w:p>
        </w:tc>
      </w:tr>
    </w:tbl>
    <w:p>
      <w:pPr>
        <w:pBdr>
          <w:bottom w:val="single" w:color="E2DBD0" w:sz="2" w:space="1"/>
        </w:pBdr>
        <w:spacing w:after="280" w:before="280"/>
      </w:pPr>
      <w:r>
        <w:t xml:space="preserve"/>
      </w:r>
    </w:p>
    <w:p>
      <w:pPr>
        <w:pBdr>
          <w:bottom w:val="single" w:color="3D6B4F" w:sz="8" w:space="6"/>
        </w:pBdr>
        <w:spacing w:after="160" w:before="480"/>
      </w:pPr>
      <w:r>
        <w:rPr>
          <w:rFonts w:ascii="Lato" w:cs="Lato" w:eastAsia="Lato" w:hAnsi="Lato"/>
          <w:b/>
          <w:bCs/>
          <w:color w:val="2C3E35"/>
          <w:sz w:val="38"/>
          <w:szCs w:val="38"/>
        </w:rPr>
        <w:t xml:space="preserve">10  Brand Don'ts</w:t>
      </w:r>
    </w:p>
    <w:p>
      <w:pPr>
        <w:pStyle w:val="ListParagraph"/>
        <w:numPr>
          <w:ilvl w:val="0"/>
          <w:numId w:val="2"/>
        </w:numPr>
        <w:spacing w:after="60" w:before="60"/>
      </w:pPr>
      <w:r>
        <w:rPr>
          <w:rFonts w:ascii="Lato" w:cs="Lato" w:eastAsia="Lato" w:hAnsi="Lato"/>
          <w:b w:val="false"/>
          <w:bCs w:val="false"/>
          <w:color w:val="2C3E35"/>
          <w:sz w:val="22"/>
          <w:szCs w:val="22"/>
        </w:rPr>
        <w:t xml:space="preserve">Don't use corporate or overly formal language — it creates distance</w:t>
      </w:r>
    </w:p>
    <w:p>
      <w:pPr>
        <w:pStyle w:val="ListParagraph"/>
        <w:numPr>
          <w:ilvl w:val="0"/>
          <w:numId w:val="2"/>
        </w:numPr>
        <w:spacing w:after="60" w:before="60"/>
      </w:pPr>
      <w:r>
        <w:rPr>
          <w:rFonts w:ascii="Lato" w:cs="Lato" w:eastAsia="Lato" w:hAnsi="Lato"/>
          <w:b w:val="false"/>
          <w:bCs w:val="false"/>
          <w:color w:val="2C3E35"/>
          <w:sz w:val="22"/>
          <w:szCs w:val="22"/>
        </w:rPr>
        <w:t xml:space="preserve">Don't open LinkedIn posts with 'Excited to share' or 'Thrilled to announce'</w:t>
      </w:r>
    </w:p>
    <w:p>
      <w:pPr>
        <w:pStyle w:val="ListParagraph"/>
        <w:numPr>
          <w:ilvl w:val="0"/>
          <w:numId w:val="2"/>
        </w:numPr>
        <w:spacing w:after="60" w:before="60"/>
      </w:pPr>
      <w:r>
        <w:rPr>
          <w:rFonts w:ascii="Lato" w:cs="Lato" w:eastAsia="Lato" w:hAnsi="Lato"/>
          <w:b w:val="false"/>
          <w:bCs w:val="false"/>
          <w:color w:val="2C3E35"/>
          <w:sz w:val="22"/>
          <w:szCs w:val="22"/>
        </w:rPr>
        <w:t xml:space="preserve">Don't post without a clear point of view — vague content builds no trust</w:t>
      </w:r>
    </w:p>
    <w:p>
      <w:pPr>
        <w:pStyle w:val="ListParagraph"/>
        <w:numPr>
          <w:ilvl w:val="0"/>
          <w:numId w:val="2"/>
        </w:numPr>
        <w:spacing w:after="60" w:before="60"/>
      </w:pPr>
      <w:r>
        <w:rPr>
          <w:rFonts w:ascii="Lato" w:cs="Lato" w:eastAsia="Lato" w:hAnsi="Lato"/>
          <w:b w:val="false"/>
          <w:bCs w:val="false"/>
          <w:color w:val="2C3E35"/>
          <w:sz w:val="22"/>
          <w:szCs w:val="22"/>
        </w:rPr>
        <w:t xml:space="preserve">Don't use pure black (#000000) or pure white (#FFFFFF) as brand colors</w:t>
      </w:r>
    </w:p>
    <w:p>
      <w:pPr>
        <w:pStyle w:val="ListParagraph"/>
        <w:numPr>
          <w:ilvl w:val="0"/>
          <w:numId w:val="2"/>
        </w:numPr>
        <w:spacing w:after="60" w:before="60"/>
      </w:pPr>
      <w:r>
        <w:rPr>
          <w:rFonts w:ascii="Lato" w:cs="Lato" w:eastAsia="Lato" w:hAnsi="Lato"/>
          <w:b w:val="false"/>
          <w:bCs w:val="false"/>
          <w:color w:val="2C3E35"/>
          <w:sz w:val="22"/>
          <w:szCs w:val="22"/>
        </w:rPr>
        <w:t xml:space="preserve">Don't use more than 3 colors in a single piece of content</w:t>
      </w:r>
    </w:p>
    <w:p>
      <w:pPr>
        <w:pStyle w:val="ListParagraph"/>
        <w:numPr>
          <w:ilvl w:val="0"/>
          <w:numId w:val="2"/>
        </w:numPr>
        <w:spacing w:after="60" w:before="60"/>
      </w:pPr>
      <w:r>
        <w:rPr>
          <w:rFonts w:ascii="Lato" w:cs="Lato" w:eastAsia="Lato" w:hAnsi="Lato"/>
          <w:b w:val="false"/>
          <w:bCs w:val="false"/>
          <w:color w:val="2C3E35"/>
          <w:sz w:val="22"/>
          <w:szCs w:val="22"/>
        </w:rPr>
        <w:t xml:space="preserve">Don't use generic stock illustrations or clip art</w:t>
      </w:r>
    </w:p>
    <w:p>
      <w:pPr>
        <w:pStyle w:val="ListParagraph"/>
        <w:numPr>
          <w:ilvl w:val="0"/>
          <w:numId w:val="2"/>
        </w:numPr>
        <w:spacing w:after="60" w:before="60"/>
      </w:pPr>
      <w:r>
        <w:rPr>
          <w:rFonts w:ascii="Lato" w:cs="Lato" w:eastAsia="Lato" w:hAnsi="Lato"/>
          <w:b w:val="false"/>
          <w:bCs w:val="false"/>
          <w:color w:val="2C3E35"/>
          <w:sz w:val="22"/>
          <w:szCs w:val="22"/>
        </w:rPr>
        <w:t xml:space="preserve">Don't use Terracotta and Gold together without a neutral in between</w:t>
      </w:r>
    </w:p>
    <w:p>
      <w:pPr>
        <w:pStyle w:val="ListParagraph"/>
        <w:numPr>
          <w:ilvl w:val="0"/>
          <w:numId w:val="2"/>
        </w:numPr>
        <w:spacing w:after="60" w:before="60"/>
      </w:pPr>
      <w:r>
        <w:rPr>
          <w:rFonts w:ascii="Lato" w:cs="Lato" w:eastAsia="Lato" w:hAnsi="Lato"/>
          <w:b w:val="false"/>
          <w:bCs w:val="false"/>
          <w:color w:val="2C3E35"/>
          <w:sz w:val="22"/>
          <w:szCs w:val="22"/>
        </w:rPr>
        <w:t xml:space="preserve">Don't hide the Dyslex-Aid story — it is the most credibility-building thing on the brand</w:t>
      </w:r>
    </w:p>
    <w:p>
      <w:pPr>
        <w:pStyle w:val="ListParagraph"/>
        <w:numPr>
          <w:ilvl w:val="0"/>
          <w:numId w:val="2"/>
        </w:numPr>
        <w:spacing w:after="60" w:before="60"/>
      </w:pPr>
      <w:r>
        <w:rPr>
          <w:rFonts w:ascii="Lato" w:cs="Lato" w:eastAsia="Lato" w:hAnsi="Lato"/>
          <w:b w:val="false"/>
          <w:bCs w:val="false"/>
          <w:color w:val="2C3E35"/>
          <w:sz w:val="22"/>
          <w:szCs w:val="22"/>
        </w:rPr>
        <w:t xml:space="preserve">Don't lead with credentials alone — lead with the story behind them</w:t>
      </w:r>
    </w:p>
    <w:p>
      <w:pPr>
        <w:pBdr>
          <w:bottom w:val="single" w:color="E2DBD0" w:sz="2" w:space="1"/>
        </w:pBdr>
        <w:spacing w:after="280" w:before="280"/>
      </w:pPr>
      <w:r>
        <w:t xml:space="preserve"/>
      </w:r>
    </w:p>
    <w:p>
      <w:pPr>
        <w:spacing w:after="0" w:before="160"/>
      </w:pPr>
      <w:r>
        <w:t xml:space="preserve"/>
      </w:r>
    </w:p>
    <w:p>
      <w:pPr>
        <w:spacing w:after="100" w:before="0"/>
      </w:pPr>
      <w:r>
        <w:rPr>
          <w:rFonts w:ascii="Lato" w:cs="Lato" w:eastAsia="Lato" w:hAnsi="Lato"/>
          <w:b/>
          <w:bCs/>
          <w:color w:val="3D6B4F"/>
          <w:sz w:val="26"/>
          <w:szCs w:val="26"/>
        </w:rPr>
        <w:t xml:space="preserve">These guidelines are a living document.</w:t>
      </w:r>
    </w:p>
    <w:p>
      <w:pPr>
        <w:spacing w:after="80" w:before="80"/>
      </w:pPr>
      <w:r>
        <w:rPr>
          <w:rFonts w:ascii="Lato" w:cs="Lato" w:eastAsia="Lato" w:hAnsi="Lato"/>
          <w:color w:val="2C3E35"/>
          <w:sz w:val="22"/>
          <w:szCs w:val="22"/>
        </w:rPr>
        <w:t xml:space="preserve">They will evolve as Riya's consulting firm grows. Revisit at each major milestone: a new service offering, a website launch, a rebrand, or the official founding of the firm.</w:t>
      </w:r>
    </w:p>
    <w:p>
      <w:pPr>
        <w:spacing w:after="0" w:before="80"/>
      </w:pPr>
      <w:r>
        <w:t xml:space="preserve"/>
      </w:r>
    </w:p>
    <w:p>
      <w:pPr>
        <w:spacing w:after="80" w:before="80"/>
      </w:pPr>
      <w:r>
        <w:rPr>
          <w:rFonts w:ascii="Lato" w:cs="Lato" w:eastAsia="Lato" w:hAnsi="Lato"/>
          <w:i/>
          <w:iCs/>
          <w:color w:val="6B7C73"/>
          <w:sz w:val="22"/>
          <w:szCs w:val="22"/>
        </w:rPr>
        <w:t xml:space="preserve">The one thing that should never change: the story that started all of this — a girl who was asked to leave, who came back with a Georgetown degree, an AI tool, and a purpose that made sense of everything.</w:t>
      </w:r>
    </w:p>
    <w:p>
      <w:pPr>
        <w:spacing w:after="0" w:before="80"/>
      </w:pPr>
      <w:r>
        <w:t xml:space="preserve"/>
      </w:r>
    </w:p>
    <w:p>
      <w:pPr>
        <w:spacing w:after="80" w:before="80"/>
      </w:pPr>
      <w:r>
        <w:rPr>
          <w:rFonts w:ascii="Lato" w:cs="Lato" w:eastAsia="Lato" w:hAnsi="Lato"/>
          <w:i/>
          <w:iCs/>
          <w:color w:val="6B7C73"/>
          <w:sz w:val="22"/>
          <w:szCs w:val="22"/>
        </w:rPr>
        <w:t xml:space="preserve">Last updated: April 2026  •  rmittal.works@gmail.com</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4CA" w:sz="2" w:space="4"/>
      </w:pBdr>
      <w:spacing w:after="0" w:before="120"/>
      <w:jc w:val="center"/>
    </w:pPr>
    <w:r>
      <w:rPr>
        <w:rFonts w:ascii="Lato" w:cs="Lato" w:eastAsia="Lato" w:hAnsi="Lato"/>
        <w:color w:val="6B7C73"/>
        <w:sz w:val="16"/>
        <w:szCs w:val="16"/>
      </w:rPr>
      <w:t xml:space="preserve">rmittal.works@gmail.com  •  linkedin.com/in/riya-mittal  •  dyselx-aid.com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6B4F" w:sz="4" w:space="4"/>
      </w:pBdr>
      <w:spacing w:after="120" w:before="0"/>
    </w:pPr>
    <w:r>
      <w:rPr>
        <w:rFonts w:ascii="Lato" w:cs="Lato" w:eastAsia="Lato" w:hAnsi="Lato"/>
        <w:b/>
        <w:bCs/>
        <w:color w:val="3D6B4F"/>
        <w:spacing w:val="80"/>
        <w:sz w:val="17"/>
        <w:szCs w:val="17"/>
      </w:rPr>
      <w:t xml:space="preserve">RIYA MITTAL  </w:t>
    </w:r>
    <w:r>
      <w:rPr>
        <w:rFonts w:ascii="Lato" w:cs="Lato" w:eastAsia="Lato" w:hAnsi="Lato"/>
        <w:color w:val="6B7C73"/>
        <w:sz w:val="17"/>
        <w:szCs w:val="17"/>
      </w:rPr>
      <w:t xml:space="preserve">Brand Guidelines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2714F"/>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2C3E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2026-04-18T18:17:21.263Z</dcterms:created>
  <dcterms:modified xsi:type="dcterms:W3CDTF">2026-04-18T18:17:21.263Z</dcterms:modified>
</cp:coreProperties>
</file>

<file path=docProps/custom.xml><?xml version="1.0" encoding="utf-8"?>
<Properties xmlns="http://schemas.openxmlformats.org/officeDocument/2006/custom-properties" xmlns:vt="http://schemas.openxmlformats.org/officeDocument/2006/docPropsVTypes"/>
</file>