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Списък на речниковите съответствия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Cloud Computing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SaaS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 Application Lifecycle Management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  <w:t xml:space="preserve"> Runtime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  <w:t xml:space="preserve"> IDE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  <w:t xml:space="preserve"> Build System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 Framework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 Server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  <w:t xml:space="preserve"> Source  Control System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[11]</w:t>
      </w:r>
      <w:r w:rsidDel="00000000" w:rsidR="00000000" w:rsidRPr="00000000">
        <w:rPr>
          <w:rtl w:val="0"/>
        </w:rPr>
        <w:t xml:space="preserve"> SDK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Build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Deploy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Turnaround Time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 Overhead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 WebIDE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In-System Development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RAD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[19]</w:t>
      </w:r>
      <w:r w:rsidDel="00000000" w:rsidR="00000000" w:rsidRPr="00000000">
        <w:rPr>
          <w:rtl w:val="0"/>
        </w:rPr>
        <w:t xml:space="preserve"> Desktop IDE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[20]</w:t>
      </w:r>
      <w:r w:rsidDel="00000000" w:rsidR="00000000" w:rsidRPr="00000000">
        <w:rPr>
          <w:rtl w:val="0"/>
        </w:rPr>
        <w:t xml:space="preserve"> Browser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[21]</w:t>
      </w:r>
      <w:r w:rsidDel="00000000" w:rsidR="00000000" w:rsidRPr="00000000">
        <w:rPr>
          <w:rtl w:val="0"/>
        </w:rPr>
        <w:t xml:space="preserve"> In-System Programming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[22]</w:t>
      </w:r>
      <w:r w:rsidDel="00000000" w:rsidR="00000000" w:rsidRPr="00000000">
        <w:rPr>
          <w:rtl w:val="0"/>
        </w:rPr>
        <w:t xml:space="preserve"> Template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[23]</w:t>
      </w:r>
      <w:r w:rsidDel="00000000" w:rsidR="00000000" w:rsidRPr="00000000">
        <w:rPr>
          <w:rtl w:val="0"/>
        </w:rPr>
        <w:t xml:space="preserve"> Wizard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vertAlign w:val="superscript"/>
          <w:rtl w:val="0"/>
        </w:rPr>
        <w:t xml:space="preserve">[24]</w:t>
      </w:r>
      <w:r w:rsidDel="00000000" w:rsidR="00000000" w:rsidRPr="00000000">
        <w:rPr>
          <w:rtl w:val="0"/>
        </w:rPr>
        <w:t xml:space="preserve"> Boilerplate Code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