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30"/>
        </w:rPr>
        <w:t>Báo cáo tiến độ Paper 2</w:t>
      </w:r>
    </w:p>
    <w:p>
      <w:r>
        <w:rPr>
          <w:rFonts w:ascii="Times New Roman" w:hAnsi="Times New Roman"/>
          <w:b w:val="0"/>
          <w:i/>
          <w:sz w:val="26"/>
        </w:rPr>
        <w:t>Distillation foundation model cho bài toán đếm tế bào với giám sát mức đếm và dự đoán có độ tin cậy</w:t>
      </w:r>
    </w:p>
    <w:p>
      <w:r>
        <w:rPr>
          <w:rFonts w:ascii="Times New Roman" w:hAnsi="Times New Roman"/>
          <w:b/>
          <w:i w:val="0"/>
          <w:sz w:val="30"/>
        </w:rPr>
        <w:t>1. Vấn đề nghiên cứu</w:t>
      </w:r>
    </w:p>
    <w:p>
      <w:r>
        <w:rPr>
          <w:rFonts w:ascii="Times New Roman" w:hAnsi="Times New Roman"/>
          <w:b w:val="0"/>
          <w:i w:val="0"/>
          <w:sz w:val="26"/>
        </w:rPr>
        <w:t>Các pathology foundation model hiện nay có hiệu năng cao nhưng khi thích nghi sang bài toán mới thường vẫn cần annotation mask mức instance, vốn rất tốn chi phí xây dựng. Trong khi đó, nhiều ứng dụng thực tế chỉ yêu cầu đếm số lượng tế bào. Nghiên cứu tập trung trả lời câu hỏi: liệu có thể thích nghi foundation model sang bài toán đếm tế bào chỉ với count-level supervision (không cần mask) nhưng vẫn duy trì được độ chính xác và reliability của dự đoán?</w:t>
      </w:r>
    </w:p>
    <w:p>
      <w:r>
        <w:rPr>
          <w:rFonts w:ascii="Times New Roman" w:hAnsi="Times New Roman"/>
          <w:b/>
          <w:i w:val="0"/>
          <w:sz w:val="30"/>
        </w:rPr>
        <w:t>2. Hướng giải quyết</w:t>
      </w:r>
    </w:p>
    <w:p>
      <w:r>
        <w:rPr>
          <w:rFonts w:ascii="Times New Roman" w:hAnsi="Times New Roman"/>
          <w:b w:val="0"/>
          <w:i w:val="0"/>
          <w:sz w:val="26"/>
        </w:rPr>
        <w:t>Sử dụng PathoSAM (~640M tham số) làm teacher để distill sang student 1.9M tham số. Student học density map do teacher sinh (không cần mask do người vẽ), dự đoán đồng thời giá trị đếm (μ = tổng density) và độ bất định (σ). Uncertainty được mô hình hóa bằng cơ chế Poisson-anchored sigma (σ = √μ · exp(log s), neo theo bản chất Poisson của quá trình đếm) và được hiệu chuẩn bằng conformal prediction để tạo khoảng dự đoán có bảo đảm coverage theo nhóm mô.</w:t>
      </w:r>
    </w:p>
    <w:p>
      <w:r>
        <w:rPr>
          <w:rFonts w:ascii="Times New Roman" w:hAnsi="Times New Roman"/>
          <w:b/>
          <w:i w:val="0"/>
          <w:sz w:val="30"/>
        </w:rPr>
        <w:t>3. Bằng chứng thực nghiệm</w:t>
      </w:r>
    </w:p>
    <w:p>
      <w:r>
        <w:rPr>
          <w:rFonts w:ascii="Times New Roman" w:hAnsi="Times New Roman"/>
          <w:b/>
          <w:i w:val="0"/>
          <w:sz w:val="28"/>
        </w:rPr>
        <w:t>3.1 Kết quả chính — Lợi ích label-efficiency của distillation</w:t>
      </w:r>
    </w:p>
    <w:p>
      <w:r>
        <w:rPr>
          <w:rFonts w:ascii="Times New Roman" w:hAnsi="Times New Roman"/>
          <w:b w:val="0"/>
          <w:i w:val="0"/>
          <w:sz w:val="26"/>
        </w:rPr>
        <w:t>Câu hỏi cốt lõi của bài (§1) là distillation mang lại lợi ích gì so với train trực tiếp bằng mask. Để trả lời, tiến hành so sánh trực tiếp trên cùng ngân sách ảnh giữa hai cách giám sát: (a) DISTILLED — target là density của teacher cộng một giá trị đếm mỗi ảnh; (b) SUPERVISED — target là density dựng từ mask GT từng nhân. Cả hai học trên 10% / 25% / 50% / 100% số ảnh, đánh giá trên cùng tập test, lặp 3 seed (NuInsSeg).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6"/>
              </w:rPr>
              <w:t>Ngân sách ảnh</w:t>
            </w:r>
          </w:p>
        </w:tc>
        <w:tc>
          <w:tcPr>
            <w:tcW w:type="dxa" w:w="2880"/>
          </w:tcPr>
          <w:p>
            <w:r/>
            <w:r>
              <w:rPr>
                <w:rFonts w:ascii="Times New Roman" w:hAnsi="Times New Roman"/>
                <w:b/>
                <w:i w:val="0"/>
                <w:sz w:val="26"/>
              </w:rPr>
              <w:t>Distilled (Worst-org / MAE)</w:t>
            </w:r>
          </w:p>
        </w:tc>
        <w:tc>
          <w:tcPr>
            <w:tcW w:type="dxa" w:w="2880"/>
          </w:tcPr>
          <w:p>
            <w:r/>
            <w:r>
              <w:rPr>
                <w:rFonts w:ascii="Times New Roman" w:hAnsi="Times New Roman"/>
                <w:b/>
                <w:i w:val="0"/>
                <w:sz w:val="26"/>
              </w:rPr>
              <w:t>Supervised (Worst-org / MAE)</w:t>
            </w:r>
          </w:p>
        </w:tc>
      </w:tr>
      <w:tr>
        <w:tc>
          <w:tcPr>
            <w:tcW w:type="dxa" w:w="2880"/>
          </w:tcPr>
          <w:p>
            <w:r/>
            <w:r>
              <w:rPr>
                <w:rFonts w:ascii="Times New Roman" w:hAnsi="Times New Roman"/>
                <w:b w:val="0"/>
                <w:i w:val="0"/>
                <w:sz w:val="26"/>
              </w:rPr>
              <w:t>10% (53 ảnh)</w:t>
            </w:r>
          </w:p>
        </w:tc>
        <w:tc>
          <w:tcPr>
            <w:tcW w:type="dxa" w:w="2880"/>
          </w:tcPr>
          <w:p>
            <w:r/>
            <w:r>
              <w:rPr>
                <w:rFonts w:ascii="Times New Roman" w:hAnsi="Times New Roman"/>
                <w:b w:val="0"/>
                <w:i w:val="0"/>
                <w:sz w:val="26"/>
              </w:rPr>
              <w:t>0.865 / 24.26</w:t>
            </w:r>
          </w:p>
        </w:tc>
        <w:tc>
          <w:tcPr>
            <w:tcW w:type="dxa" w:w="2880"/>
          </w:tcPr>
          <w:p>
            <w:r/>
            <w:r>
              <w:rPr>
                <w:rFonts w:ascii="Times New Roman" w:hAnsi="Times New Roman"/>
                <w:b w:val="0"/>
                <w:i w:val="0"/>
                <w:sz w:val="26"/>
              </w:rPr>
              <w:t>0.879 / 26.09</w:t>
            </w:r>
          </w:p>
        </w:tc>
      </w:tr>
      <w:tr>
        <w:tc>
          <w:tcPr>
            <w:tcW w:type="dxa" w:w="2880"/>
          </w:tcPr>
          <w:p>
            <w:r/>
            <w:r>
              <w:rPr>
                <w:rFonts w:ascii="Times New Roman" w:hAnsi="Times New Roman"/>
                <w:b w:val="0"/>
                <w:i w:val="0"/>
                <w:sz w:val="26"/>
              </w:rPr>
              <w:t>25% (133 ảnh)</w:t>
            </w:r>
          </w:p>
        </w:tc>
        <w:tc>
          <w:tcPr>
            <w:tcW w:type="dxa" w:w="2880"/>
          </w:tcPr>
          <w:p>
            <w:r/>
            <w:r>
              <w:rPr>
                <w:rFonts w:ascii="Times New Roman" w:hAnsi="Times New Roman"/>
                <w:b w:val="0"/>
                <w:i w:val="0"/>
                <w:sz w:val="26"/>
              </w:rPr>
              <w:t>0.858 / 21.85</w:t>
            </w:r>
          </w:p>
        </w:tc>
        <w:tc>
          <w:tcPr>
            <w:tcW w:type="dxa" w:w="2880"/>
          </w:tcPr>
          <w:p>
            <w:r/>
            <w:r>
              <w:rPr>
                <w:rFonts w:ascii="Times New Roman" w:hAnsi="Times New Roman"/>
                <w:b w:val="0"/>
                <w:i w:val="0"/>
                <w:sz w:val="26"/>
              </w:rPr>
              <w:t>0.824 / 18.49</w:t>
            </w:r>
          </w:p>
        </w:tc>
      </w:tr>
      <w:tr>
        <w:tc>
          <w:tcPr>
            <w:tcW w:type="dxa" w:w="2880"/>
          </w:tcPr>
          <w:p>
            <w:r/>
            <w:r>
              <w:rPr>
                <w:rFonts w:ascii="Times New Roman" w:hAnsi="Times New Roman"/>
                <w:b w:val="0"/>
                <w:i w:val="0"/>
                <w:sz w:val="26"/>
              </w:rPr>
              <w:t>50% (266 ảnh)</w:t>
            </w:r>
          </w:p>
        </w:tc>
        <w:tc>
          <w:tcPr>
            <w:tcW w:type="dxa" w:w="2880"/>
          </w:tcPr>
          <w:p>
            <w:r/>
            <w:r>
              <w:rPr>
                <w:rFonts w:ascii="Times New Roman" w:hAnsi="Times New Roman"/>
                <w:b w:val="0"/>
                <w:i w:val="0"/>
                <w:sz w:val="26"/>
              </w:rPr>
              <w:t>0.840 / 20.34</w:t>
            </w:r>
          </w:p>
        </w:tc>
        <w:tc>
          <w:tcPr>
            <w:tcW w:type="dxa" w:w="2880"/>
          </w:tcPr>
          <w:p>
            <w:r/>
            <w:r>
              <w:rPr>
                <w:rFonts w:ascii="Times New Roman" w:hAnsi="Times New Roman"/>
                <w:b w:val="0"/>
                <w:i w:val="0"/>
                <w:sz w:val="26"/>
              </w:rPr>
              <w:t>0.830 / 17.73</w:t>
            </w:r>
          </w:p>
        </w:tc>
      </w:tr>
      <w:tr>
        <w:tc>
          <w:tcPr>
            <w:tcW w:type="dxa" w:w="2880"/>
          </w:tcPr>
          <w:p>
            <w:r/>
            <w:r>
              <w:rPr>
                <w:rFonts w:ascii="Times New Roman" w:hAnsi="Times New Roman"/>
                <w:b w:val="0"/>
                <w:i w:val="0"/>
                <w:sz w:val="26"/>
              </w:rPr>
              <w:t>100% (532 ảnh)</w:t>
            </w:r>
          </w:p>
        </w:tc>
        <w:tc>
          <w:tcPr>
            <w:tcW w:type="dxa" w:w="2880"/>
          </w:tcPr>
          <w:p>
            <w:r/>
            <w:r>
              <w:rPr>
                <w:rFonts w:ascii="Times New Roman" w:hAnsi="Times New Roman"/>
                <w:b w:val="0"/>
                <w:i w:val="0"/>
                <w:sz w:val="26"/>
              </w:rPr>
              <w:t>0.843 / 14.12</w:t>
            </w:r>
          </w:p>
        </w:tc>
        <w:tc>
          <w:tcPr>
            <w:tcW w:type="dxa" w:w="2880"/>
          </w:tcPr>
          <w:p>
            <w:r/>
            <w:r>
              <w:rPr>
                <w:rFonts w:ascii="Times New Roman" w:hAnsi="Times New Roman"/>
                <w:b w:val="0"/>
                <w:i w:val="0"/>
                <w:sz w:val="26"/>
              </w:rPr>
              <w:t>0.897 / 14.61</w:t>
            </w:r>
          </w:p>
        </w:tc>
      </w:tr>
    </w:tbl>
    <w:p/>
    <w:p>
      <w:r>
        <w:rPr>
          <w:rFonts w:ascii="Times New Roman" w:hAnsi="Times New Roman"/>
          <w:b w:val="0"/>
          <w:i w:val="0"/>
          <w:sz w:val="26"/>
        </w:rPr>
        <w:t>Ở cùng số ảnh, hai cách cho reliability (worst-organ coverage) không phân biệt được về mặt thống kê và MAE tương đương (supervised nhỉnh ~2–3 nhân ở khúc giữa nhưng hòa ở hai đầu; ở 100% distilled còn thấp hơn). Nghĩa là distillation đạt chất lượng ngang cách dùng mask.</w:t>
      </w:r>
    </w:p>
    <w:p>
      <w:r>
        <w:rPr>
          <w:rFonts w:ascii="Times New Roman" w:hAnsi="Times New Roman"/>
          <w:b w:val="0"/>
          <w:i w:val="0"/>
          <w:sz w:val="26"/>
        </w:rPr>
        <w:t>Khác biệt nằm ở CHI PHÍ NHÃN. Trung bình mỗi ảnh có 52.8 nhân (trung vị 38; tổng 35.138 nhân trên 665 ảnh), nên công dán nhãn mỗi ảnh: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6"/>
              </w:rPr>
              <w:t>Cách giám sát</w:t>
            </w:r>
          </w:p>
        </w:tc>
        <w:tc>
          <w:tcPr>
            <w:tcW w:type="dxa" w:w="2880"/>
          </w:tcPr>
          <w:p>
            <w:r/>
            <w:r>
              <w:rPr>
                <w:rFonts w:ascii="Times New Roman" w:hAnsi="Times New Roman"/>
                <w:b/>
                <w:i w:val="0"/>
                <w:sz w:val="26"/>
              </w:rPr>
              <w:t>Nhãn người cần cung cấp / ảnh</w:t>
            </w:r>
          </w:p>
        </w:tc>
        <w:tc>
          <w:tcPr>
            <w:tcW w:type="dxa" w:w="2880"/>
          </w:tcPr>
          <w:p>
            <w:r/>
            <w:r>
              <w:rPr>
                <w:rFonts w:ascii="Times New Roman" w:hAnsi="Times New Roman"/>
                <w:b/>
                <w:i w:val="0"/>
                <w:sz w:val="26"/>
              </w:rPr>
              <w:t>Ước tính chi phí / ảnh</w:t>
            </w:r>
          </w:p>
        </w:tc>
      </w:tr>
      <w:tr>
        <w:tc>
          <w:tcPr>
            <w:tcW w:type="dxa" w:w="2880"/>
          </w:tcPr>
          <w:p>
            <w:r/>
            <w:r>
              <w:rPr>
                <w:rFonts w:ascii="Times New Roman" w:hAnsi="Times New Roman"/>
                <w:b w:val="0"/>
                <w:i w:val="0"/>
                <w:sz w:val="26"/>
              </w:rPr>
              <w:t>Distilled (đề xuất)</w:t>
            </w:r>
          </w:p>
        </w:tc>
        <w:tc>
          <w:tcPr>
            <w:tcW w:type="dxa" w:w="2880"/>
          </w:tcPr>
          <w:p>
            <w:r/>
            <w:r>
              <w:rPr>
                <w:rFonts w:ascii="Times New Roman" w:hAnsi="Times New Roman"/>
                <w:b w:val="0"/>
                <w:i w:val="0"/>
                <w:sz w:val="26"/>
              </w:rPr>
              <w:t>density teacher (0 công người) + 1 giá trị đếm</w:t>
            </w:r>
          </w:p>
        </w:tc>
        <w:tc>
          <w:tcPr>
            <w:tcW w:type="dxa" w:w="2880"/>
          </w:tcPr>
          <w:p>
            <w:r/>
            <w:r>
              <w:rPr>
                <w:rFonts w:ascii="Times New Roman" w:hAnsi="Times New Roman"/>
                <w:b w:val="0"/>
                <w:i w:val="0"/>
                <w:sz w:val="26"/>
              </w:rPr>
              <w:t>≈ 52.8 × 2.4s ≈ 127 giây</w:t>
            </w:r>
          </w:p>
        </w:tc>
      </w:tr>
      <w:tr>
        <w:tc>
          <w:tcPr>
            <w:tcW w:type="dxa" w:w="2880"/>
          </w:tcPr>
          <w:p>
            <w:r/>
            <w:r>
              <w:rPr>
                <w:rFonts w:ascii="Times New Roman" w:hAnsi="Times New Roman"/>
                <w:b w:val="0"/>
                <w:i w:val="0"/>
                <w:sz w:val="26"/>
              </w:rPr>
              <w:t>Supervised</w:t>
            </w:r>
          </w:p>
        </w:tc>
        <w:tc>
          <w:tcPr>
            <w:tcW w:type="dxa" w:w="2880"/>
          </w:tcPr>
          <w:p>
            <w:r/>
            <w:r>
              <w:rPr>
                <w:rFonts w:ascii="Times New Roman" w:hAnsi="Times New Roman"/>
                <w:b w:val="0"/>
                <w:i w:val="0"/>
                <w:sz w:val="26"/>
              </w:rPr>
              <w:t>vẽ mask 52.8 nhân</w:t>
            </w:r>
          </w:p>
        </w:tc>
        <w:tc>
          <w:tcPr>
            <w:tcW w:type="dxa" w:w="2880"/>
          </w:tcPr>
          <w:p>
            <w:r/>
            <w:r>
              <w:rPr>
                <w:rFonts w:ascii="Times New Roman" w:hAnsi="Times New Roman"/>
                <w:b w:val="0"/>
                <w:i w:val="0"/>
                <w:sz w:val="26"/>
              </w:rPr>
              <w:t>≈ 52.8 × (5–10× chấm điểm) ≈ 640–1270 giây</w:t>
            </w:r>
          </w:p>
        </w:tc>
      </w:tr>
    </w:tbl>
    <w:p/>
    <w:p>
      <w:r>
        <w:rPr>
          <w:rFonts w:ascii="Times New Roman" w:hAnsi="Times New Roman"/>
          <w:b w:val="0"/>
          <w:i w:val="0"/>
          <w:sz w:val="26"/>
        </w:rPr>
        <w:t>Vì cả hai chi phí đều tỉ lệ với số nhân, tỉ số công dán nhãn xấp xỉ 5–10 lần bất kể mật độ ảnh. Kết luận chính: distillation đạt độ chính xác và reliability tương đương giám sát bằng mask nhưng chỉ cần khoảng 1/5–1/10 chi phí annotation (chỉ giám sát mức đếm). Đây là bằng chứng trực tiếp cho luận điểm label-efficiency và là đóng góp trung tâm của nghiên cứu.</w:t>
      </w:r>
    </w:p>
    <w:p>
      <w:r>
        <w:rPr>
          <w:rFonts w:ascii="Times New Roman" w:hAnsi="Times New Roman"/>
          <w:b w:val="0"/>
          <w:i/>
          <w:sz w:val="26"/>
        </w:rPr>
        <w:t>Ghi chú trung thực: (i) thí nghiệm dùng chia đơn (single-split) nên chỉ đọc tương đối giữa các mức ngân sách, không so tuyệt đối với các bảng khác; (ii) giá trị đếm GT ở đây vẫn lấy từ mask có sẵn nên kết quả chứng minh YÊU CẦU giám sát của phương pháp là mức đếm, không phải đã dán nhãn rẻ hơn trong thực tế; (iii) tỉ số 5–10× là khoảng an toàn — chi phí chấm điểm 2.4s/nhân có nguồn (Bearman, ECCV 2016), chi phí vẽ mask mỗi nhân không có nguồn chuẩn nên không quy về một con số đơn.</w:t>
      </w:r>
    </w:p>
    <w:p>
      <w:r>
        <w:rPr>
          <w:rFonts w:ascii="Times New Roman" w:hAnsi="Times New Roman"/>
          <w:b/>
          <w:i w:val="0"/>
          <w:sz w:val="28"/>
        </w:rPr>
        <w:t>3.2 Độ chính xác và reliability tuyệt đối, so với baseline</w:t>
      </w:r>
    </w:p>
    <w:p>
      <w:r>
        <w:rPr>
          <w:rFonts w:ascii="Times New Roman" w:hAnsi="Times New Roman"/>
          <w:b w:val="0"/>
          <w:i w:val="0"/>
          <w:sz w:val="26"/>
        </w:rPr>
        <w:t>Với đầy đủ dữ liệu, student 1.9M duy trì độ chính xác đếm và reliability tốt trên cả hai dataset: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6"/>
              </w:rPr>
              <w:t>Dataset</w:t>
            </w:r>
          </w:p>
        </w:tc>
        <w:tc>
          <w:tcPr>
            <w:tcW w:type="dxa" w:w="2160"/>
          </w:tcPr>
          <w:p>
            <w:r/>
            <w:r>
              <w:rPr>
                <w:rFonts w:ascii="Times New Roman" w:hAnsi="Times New Roman"/>
                <w:b/>
                <w:i w:val="0"/>
                <w:sz w:val="26"/>
              </w:rPr>
              <w:t>MAE</w:t>
            </w:r>
          </w:p>
        </w:tc>
        <w:tc>
          <w:tcPr>
            <w:tcW w:type="dxa" w:w="2160"/>
          </w:tcPr>
          <w:p>
            <w:r/>
            <w:r>
              <w:rPr>
                <w:rFonts w:ascii="Times New Roman" w:hAnsi="Times New Roman"/>
                <w:b/>
                <w:i w:val="0"/>
                <w:sz w:val="26"/>
              </w:rPr>
              <w:t>Winkler</w:t>
            </w:r>
          </w:p>
        </w:tc>
        <w:tc>
          <w:tcPr>
            <w:tcW w:type="dxa" w:w="2160"/>
          </w:tcPr>
          <w:p>
            <w:r/>
            <w:r>
              <w:rPr>
                <w:rFonts w:ascii="Times New Roman" w:hAnsi="Times New Roman"/>
                <w:b/>
                <w:i w:val="0"/>
                <w:sz w:val="26"/>
              </w:rPr>
              <w:t>Worst-organ Coverage</w:t>
            </w:r>
          </w:p>
        </w:tc>
      </w:tr>
      <w:tr>
        <w:tc>
          <w:tcPr>
            <w:tcW w:type="dxa" w:w="2160"/>
          </w:tcPr>
          <w:p>
            <w:r/>
            <w:r>
              <w:rPr>
                <w:rFonts w:ascii="Times New Roman" w:hAnsi="Times New Roman"/>
                <w:b w:val="0"/>
                <w:i w:val="0"/>
                <w:sz w:val="26"/>
              </w:rPr>
              <w:t>PanNuke</w:t>
            </w:r>
          </w:p>
        </w:tc>
        <w:tc>
          <w:tcPr>
            <w:tcW w:type="dxa" w:w="2160"/>
          </w:tcPr>
          <w:p>
            <w:r/>
            <w:r>
              <w:rPr>
                <w:rFonts w:ascii="Times New Roman" w:hAnsi="Times New Roman"/>
                <w:b w:val="0"/>
                <w:i w:val="0"/>
                <w:sz w:val="26"/>
              </w:rPr>
              <w:t>3.36</w:t>
            </w:r>
          </w:p>
        </w:tc>
        <w:tc>
          <w:tcPr>
            <w:tcW w:type="dxa" w:w="2160"/>
          </w:tcPr>
          <w:p>
            <w:r/>
            <w:r>
              <w:rPr>
                <w:rFonts w:ascii="Times New Roman" w:hAnsi="Times New Roman"/>
                <w:b w:val="0"/>
                <w:i w:val="0"/>
                <w:sz w:val="26"/>
              </w:rPr>
              <w:t>19.28</w:t>
            </w:r>
          </w:p>
        </w:tc>
        <w:tc>
          <w:tcPr>
            <w:tcW w:type="dxa" w:w="2160"/>
          </w:tcPr>
          <w:p>
            <w:r/>
            <w:r>
              <w:rPr>
                <w:rFonts w:ascii="Times New Roman" w:hAnsi="Times New Roman"/>
                <w:b w:val="0"/>
                <w:i w:val="0"/>
                <w:sz w:val="26"/>
              </w:rPr>
              <w:t>0.906</w:t>
            </w:r>
          </w:p>
        </w:tc>
      </w:tr>
      <w:tr>
        <w:tc>
          <w:tcPr>
            <w:tcW w:type="dxa" w:w="2160"/>
          </w:tcPr>
          <w:p>
            <w:r/>
            <w:r>
              <w:rPr>
                <w:rFonts w:ascii="Times New Roman" w:hAnsi="Times New Roman"/>
                <w:b w:val="0"/>
                <w:i w:val="0"/>
                <w:sz w:val="26"/>
              </w:rPr>
              <w:t>NuInsSeg (5 seed)</w:t>
            </w:r>
          </w:p>
        </w:tc>
        <w:tc>
          <w:tcPr>
            <w:tcW w:type="dxa" w:w="2160"/>
          </w:tcPr>
          <w:p>
            <w:r/>
            <w:r>
              <w:rPr>
                <w:rFonts w:ascii="Times New Roman" w:hAnsi="Times New Roman"/>
                <w:b w:val="0"/>
                <w:i w:val="0"/>
                <w:sz w:val="26"/>
              </w:rPr>
              <w:t>14.7 ± 1.7</w:t>
            </w:r>
          </w:p>
        </w:tc>
        <w:tc>
          <w:tcPr>
            <w:tcW w:type="dxa" w:w="2160"/>
          </w:tcPr>
          <w:p>
            <w:r/>
            <w:r>
              <w:rPr>
                <w:rFonts w:ascii="Times New Roman" w:hAnsi="Times New Roman"/>
                <w:b w:val="0"/>
                <w:i w:val="0"/>
                <w:sz w:val="26"/>
              </w:rPr>
              <w:t>95.4 ± 11.9</w:t>
            </w:r>
          </w:p>
        </w:tc>
        <w:tc>
          <w:tcPr>
            <w:tcW w:type="dxa" w:w="2160"/>
          </w:tcPr>
          <w:p>
            <w:r/>
            <w:r>
              <w:rPr>
                <w:rFonts w:ascii="Times New Roman" w:hAnsi="Times New Roman"/>
                <w:b w:val="0"/>
                <w:i w:val="0"/>
                <w:sz w:val="26"/>
              </w:rPr>
              <w:t>0.750 ± 0.049</w:t>
            </w:r>
          </w:p>
        </w:tc>
      </w:tr>
    </w:tbl>
    <w:p/>
    <w:p>
      <w:r>
        <w:rPr>
          <w:rFonts w:ascii="Times New Roman" w:hAnsi="Times New Roman"/>
          <w:b w:val="0"/>
          <w:i w:val="0"/>
          <w:sz w:val="26"/>
        </w:rPr>
        <w:t>So với các phương pháp conformal gần đây (cùng μ, σ, đánh giá leak-free) trên PanNuke, mô hình đề xuất cho worst-organ coverage cao nhất trong khi nhẹ và rẻ nhất: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6"/>
              </w:rPr>
              <w:t>Method</w:t>
            </w:r>
          </w:p>
        </w:tc>
        <w:tc>
          <w:tcPr>
            <w:tcW w:type="dxa" w:w="2160"/>
          </w:tcPr>
          <w:p>
            <w:r/>
            <w:r>
              <w:rPr>
                <w:rFonts w:ascii="Times New Roman" w:hAnsi="Times New Roman"/>
                <w:b/>
                <w:i w:val="0"/>
                <w:sz w:val="26"/>
              </w:rPr>
              <w:t>Winkler ↓</w:t>
            </w:r>
          </w:p>
        </w:tc>
        <w:tc>
          <w:tcPr>
            <w:tcW w:type="dxa" w:w="2160"/>
          </w:tcPr>
          <w:p>
            <w:r/>
            <w:r>
              <w:rPr>
                <w:rFonts w:ascii="Times New Roman" w:hAnsi="Times New Roman"/>
                <w:b/>
                <w:i w:val="0"/>
                <w:sz w:val="26"/>
              </w:rPr>
              <w:t>MAE ↓</w:t>
            </w:r>
          </w:p>
        </w:tc>
        <w:tc>
          <w:tcPr>
            <w:tcW w:type="dxa" w:w="2160"/>
          </w:tcPr>
          <w:p>
            <w:r/>
            <w:r>
              <w:rPr>
                <w:rFonts w:ascii="Times New Roman" w:hAnsi="Times New Roman"/>
                <w:b/>
                <w:i w:val="0"/>
                <w:sz w:val="26"/>
              </w:rPr>
              <w:t>Worst-organ ↑</w:t>
            </w:r>
          </w:p>
        </w:tc>
      </w:tr>
      <w:tr>
        <w:tc>
          <w:tcPr>
            <w:tcW w:type="dxa" w:w="2160"/>
          </w:tcPr>
          <w:p>
            <w:r/>
            <w:r>
              <w:rPr>
                <w:rFonts w:ascii="Times New Roman" w:hAnsi="Times New Roman"/>
                <w:b/>
                <w:i w:val="0"/>
                <w:sz w:val="26"/>
              </w:rPr>
              <w:t>R2 (ours)</w:t>
            </w:r>
          </w:p>
        </w:tc>
        <w:tc>
          <w:tcPr>
            <w:tcW w:type="dxa" w:w="2160"/>
          </w:tcPr>
          <w:p>
            <w:r/>
            <w:r>
              <w:rPr>
                <w:rFonts w:ascii="Times New Roman" w:hAnsi="Times New Roman"/>
                <w:b/>
                <w:i w:val="0"/>
                <w:sz w:val="26"/>
              </w:rPr>
              <w:t>19.28</w:t>
            </w:r>
          </w:p>
        </w:tc>
        <w:tc>
          <w:tcPr>
            <w:tcW w:type="dxa" w:w="2160"/>
          </w:tcPr>
          <w:p>
            <w:r/>
            <w:r>
              <w:rPr>
                <w:rFonts w:ascii="Times New Roman" w:hAnsi="Times New Roman"/>
                <w:b/>
                <w:i w:val="0"/>
                <w:sz w:val="26"/>
              </w:rPr>
              <w:t>3.36</w:t>
            </w:r>
          </w:p>
        </w:tc>
        <w:tc>
          <w:tcPr>
            <w:tcW w:type="dxa" w:w="2160"/>
          </w:tcPr>
          <w:p>
            <w:r/>
            <w:r>
              <w:rPr>
                <w:rFonts w:ascii="Times New Roman" w:hAnsi="Times New Roman"/>
                <w:b/>
                <w:i w:val="0"/>
                <w:sz w:val="26"/>
              </w:rPr>
              <w:t>0.906</w:t>
            </w:r>
          </w:p>
        </w:tc>
      </w:tr>
      <w:tr>
        <w:tc>
          <w:tcPr>
            <w:tcW w:type="dxa" w:w="2160"/>
          </w:tcPr>
          <w:p>
            <w:r/>
            <w:r>
              <w:rPr>
                <w:rFonts w:ascii="Times New Roman" w:hAnsi="Times New Roman"/>
                <w:b w:val="0"/>
                <w:i w:val="0"/>
                <w:sz w:val="26"/>
              </w:rPr>
              <w:t>CondConf (2025)</w:t>
            </w:r>
          </w:p>
        </w:tc>
        <w:tc>
          <w:tcPr>
            <w:tcW w:type="dxa" w:w="2160"/>
          </w:tcPr>
          <w:p>
            <w:r/>
            <w:r>
              <w:rPr>
                <w:rFonts w:ascii="Times New Roman" w:hAnsi="Times New Roman"/>
                <w:b w:val="0"/>
                <w:i w:val="0"/>
                <w:sz w:val="26"/>
              </w:rPr>
              <w:t>18.81</w:t>
            </w:r>
          </w:p>
        </w:tc>
        <w:tc>
          <w:tcPr>
            <w:tcW w:type="dxa" w:w="2160"/>
          </w:tcPr>
          <w:p>
            <w:r/>
            <w:r>
              <w:rPr>
                <w:rFonts w:ascii="Times New Roman" w:hAnsi="Times New Roman"/>
                <w:b w:val="0"/>
                <w:i w:val="0"/>
                <w:sz w:val="26"/>
              </w:rPr>
              <w:t>3.37</w:t>
            </w:r>
          </w:p>
        </w:tc>
        <w:tc>
          <w:tcPr>
            <w:tcW w:type="dxa" w:w="2160"/>
          </w:tcPr>
          <w:p>
            <w:r/>
            <w:r>
              <w:rPr>
                <w:rFonts w:ascii="Times New Roman" w:hAnsi="Times New Roman"/>
                <w:b w:val="0"/>
                <w:i w:val="0"/>
                <w:sz w:val="26"/>
              </w:rPr>
              <w:t>0.853</w:t>
            </w:r>
          </w:p>
        </w:tc>
      </w:tr>
      <w:tr>
        <w:tc>
          <w:tcPr>
            <w:tcW w:type="dxa" w:w="2160"/>
          </w:tcPr>
          <w:p>
            <w:r/>
            <w:r>
              <w:rPr>
                <w:rFonts w:ascii="Times New Roman" w:hAnsi="Times New Roman"/>
                <w:b w:val="0"/>
                <w:i w:val="0"/>
                <w:sz w:val="26"/>
              </w:rPr>
              <w:t>PCP (2024)</w:t>
            </w:r>
          </w:p>
        </w:tc>
        <w:tc>
          <w:tcPr>
            <w:tcW w:type="dxa" w:w="2160"/>
          </w:tcPr>
          <w:p>
            <w:r/>
            <w:r>
              <w:rPr>
                <w:rFonts w:ascii="Times New Roman" w:hAnsi="Times New Roman"/>
                <w:b w:val="0"/>
                <w:i w:val="0"/>
                <w:sz w:val="26"/>
              </w:rPr>
              <w:t>23.26</w:t>
            </w:r>
          </w:p>
        </w:tc>
        <w:tc>
          <w:tcPr>
            <w:tcW w:type="dxa" w:w="2160"/>
          </w:tcPr>
          <w:p>
            <w:r/>
            <w:r>
              <w:rPr>
                <w:rFonts w:ascii="Times New Roman" w:hAnsi="Times New Roman"/>
                <w:b w:val="0"/>
                <w:i w:val="0"/>
                <w:sz w:val="26"/>
              </w:rPr>
              <w:t>3.37</w:t>
            </w:r>
          </w:p>
        </w:tc>
        <w:tc>
          <w:tcPr>
            <w:tcW w:type="dxa" w:w="2160"/>
          </w:tcPr>
          <w:p>
            <w:r/>
            <w:r>
              <w:rPr>
                <w:rFonts w:ascii="Times New Roman" w:hAnsi="Times New Roman"/>
                <w:b w:val="0"/>
                <w:i w:val="0"/>
                <w:sz w:val="26"/>
              </w:rPr>
              <w:t>0.805</w:t>
            </w:r>
          </w:p>
        </w:tc>
      </w:tr>
      <w:tr>
        <w:tc>
          <w:tcPr>
            <w:tcW w:type="dxa" w:w="2160"/>
          </w:tcPr>
          <w:p>
            <w:r/>
            <w:r>
              <w:rPr>
                <w:rFonts w:ascii="Times New Roman" w:hAnsi="Times New Roman"/>
                <w:b w:val="0"/>
                <w:i w:val="0"/>
                <w:sz w:val="26"/>
              </w:rPr>
              <w:t>CPCP (2026)</w:t>
            </w:r>
          </w:p>
        </w:tc>
        <w:tc>
          <w:tcPr>
            <w:tcW w:type="dxa" w:w="2160"/>
          </w:tcPr>
          <w:p>
            <w:r/>
            <w:r>
              <w:rPr>
                <w:rFonts w:ascii="Times New Roman" w:hAnsi="Times New Roman"/>
                <w:b w:val="0"/>
                <w:i w:val="0"/>
                <w:sz w:val="26"/>
              </w:rPr>
              <w:t>35.46</w:t>
            </w:r>
          </w:p>
        </w:tc>
        <w:tc>
          <w:tcPr>
            <w:tcW w:type="dxa" w:w="2160"/>
          </w:tcPr>
          <w:p>
            <w:r/>
            <w:r>
              <w:rPr>
                <w:rFonts w:ascii="Times New Roman" w:hAnsi="Times New Roman"/>
                <w:b w:val="0"/>
                <w:i w:val="0"/>
                <w:sz w:val="26"/>
              </w:rPr>
              <w:t>6.18</w:t>
            </w:r>
          </w:p>
        </w:tc>
        <w:tc>
          <w:tcPr>
            <w:tcW w:type="dxa" w:w="2160"/>
          </w:tcPr>
          <w:p>
            <w:r/>
            <w:r>
              <w:rPr>
                <w:rFonts w:ascii="Times New Roman" w:hAnsi="Times New Roman"/>
                <w:b w:val="0"/>
                <w:i w:val="0"/>
                <w:sz w:val="26"/>
              </w:rPr>
              <w:t>0.758</w:t>
            </w:r>
          </w:p>
        </w:tc>
      </w:tr>
      <w:tr>
        <w:tc>
          <w:tcPr>
            <w:tcW w:type="dxa" w:w="2160"/>
          </w:tcPr>
          <w:p>
            <w:r/>
            <w:r>
              <w:rPr>
                <w:rFonts w:ascii="Times New Roman" w:hAnsi="Times New Roman"/>
                <w:b w:val="0"/>
                <w:i w:val="0"/>
                <w:sz w:val="26"/>
              </w:rPr>
              <w:t>R2CCP (2024)</w:t>
            </w:r>
          </w:p>
        </w:tc>
        <w:tc>
          <w:tcPr>
            <w:tcW w:type="dxa" w:w="2160"/>
          </w:tcPr>
          <w:p>
            <w:r/>
            <w:r>
              <w:rPr>
                <w:rFonts w:ascii="Times New Roman" w:hAnsi="Times New Roman"/>
                <w:b w:val="0"/>
                <w:i w:val="0"/>
                <w:sz w:val="26"/>
              </w:rPr>
              <w:t>58.40</w:t>
            </w:r>
          </w:p>
        </w:tc>
        <w:tc>
          <w:tcPr>
            <w:tcW w:type="dxa" w:w="2160"/>
          </w:tcPr>
          <w:p>
            <w:r/>
            <w:r>
              <w:rPr>
                <w:rFonts w:ascii="Times New Roman" w:hAnsi="Times New Roman"/>
                <w:b w:val="0"/>
                <w:i w:val="0"/>
                <w:sz w:val="26"/>
              </w:rPr>
              <w:t>5.83</w:t>
            </w:r>
          </w:p>
        </w:tc>
        <w:tc>
          <w:tcPr>
            <w:tcW w:type="dxa" w:w="2160"/>
          </w:tcPr>
          <w:p>
            <w:r/>
            <w:r>
              <w:rPr>
                <w:rFonts w:ascii="Times New Roman" w:hAnsi="Times New Roman"/>
                <w:b w:val="0"/>
                <w:i w:val="0"/>
                <w:sz w:val="26"/>
              </w:rPr>
              <w:t>0.621</w:t>
            </w:r>
          </w:p>
        </w:tc>
      </w:tr>
      <w:tr>
        <w:tc>
          <w:tcPr>
            <w:tcW w:type="dxa" w:w="2160"/>
          </w:tcPr>
          <w:p>
            <w:r/>
            <w:r>
              <w:rPr>
                <w:rFonts w:ascii="Times New Roman" w:hAnsi="Times New Roman"/>
                <w:b w:val="0"/>
                <w:i w:val="0"/>
                <w:sz w:val="26"/>
              </w:rPr>
              <w:t>KD (baseline)</w:t>
            </w:r>
          </w:p>
        </w:tc>
        <w:tc>
          <w:tcPr>
            <w:tcW w:type="dxa" w:w="2160"/>
          </w:tcPr>
          <w:p>
            <w:r/>
            <w:r>
              <w:rPr>
                <w:rFonts w:ascii="Times New Roman" w:hAnsi="Times New Roman"/>
                <w:b w:val="0"/>
                <w:i w:val="0"/>
                <w:sz w:val="26"/>
              </w:rPr>
              <w:t>22.08</w:t>
            </w:r>
          </w:p>
        </w:tc>
        <w:tc>
          <w:tcPr>
            <w:tcW w:type="dxa" w:w="2160"/>
          </w:tcPr>
          <w:p>
            <w:r/>
            <w:r>
              <w:rPr>
                <w:rFonts w:ascii="Times New Roman" w:hAnsi="Times New Roman"/>
                <w:b w:val="0"/>
                <w:i w:val="0"/>
                <w:sz w:val="26"/>
              </w:rPr>
              <w:t>3.64</w:t>
            </w:r>
          </w:p>
        </w:tc>
        <w:tc>
          <w:tcPr>
            <w:tcW w:type="dxa" w:w="2160"/>
          </w:tcPr>
          <w:p>
            <w:r/>
            <w:r>
              <w:rPr>
                <w:rFonts w:ascii="Times New Roman" w:hAnsi="Times New Roman"/>
                <w:b w:val="0"/>
                <w:i w:val="0"/>
                <w:sz w:val="26"/>
              </w:rPr>
              <w:t>0.721</w:t>
            </w:r>
          </w:p>
        </w:tc>
      </w:tr>
    </w:tbl>
    <w:p/>
    <w:p>
      <w:r>
        <w:rPr>
          <w:rFonts w:ascii="Times New Roman" w:hAnsi="Times New Roman"/>
          <w:b w:val="0"/>
          <w:i w:val="0"/>
          <w:sz w:val="26"/>
        </w:rPr>
        <w:t>Kết quả này cho thấy student rẻ-nhãn không hề yếu ở mặt reliability theo nhóm mô mà còn dẫn đầu dàn baseline mạnh.</w:t>
      </w:r>
    </w:p>
    <w:p>
      <w:r>
        <w:rPr>
          <w:rFonts w:ascii="Times New Roman" w:hAnsi="Times New Roman"/>
          <w:b/>
          <w:i w:val="0"/>
          <w:sz w:val="28"/>
        </w:rPr>
        <w:t>3.3 Coverage gần như miễn phí về nhãn</w:t>
      </w:r>
    </w:p>
    <w:p>
      <w:r>
        <w:rPr>
          <w:rFonts w:ascii="Times New Roman" w:hAnsi="Times New Roman"/>
          <w:b w:val="0"/>
          <w:i w:val="0"/>
          <w:sz w:val="26"/>
        </w:rPr>
        <w:t>Xét riêng nhánh distilled khi tăng dần ngân sách nhãn, worst-organ coverage giữ ổn định ở mọi mức, kể cả khi chỉ dùng 10% nhãn; chỉ độ chính xác điểm (MAE) mới cải thiện theo lượng nhãn: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6"/>
              </w:rPr>
              <w:t>Ngân sách</w:t>
            </w:r>
          </w:p>
        </w:tc>
        <w:tc>
          <w:tcPr>
            <w:tcW w:type="dxa" w:w="2880"/>
          </w:tcPr>
          <w:p>
            <w:r/>
            <w:r>
              <w:rPr>
                <w:rFonts w:ascii="Times New Roman" w:hAnsi="Times New Roman"/>
                <w:b/>
                <w:i w:val="0"/>
                <w:sz w:val="26"/>
              </w:rPr>
              <w:t>Worst-organ Coverage</w:t>
            </w:r>
          </w:p>
        </w:tc>
        <w:tc>
          <w:tcPr>
            <w:tcW w:type="dxa" w:w="2880"/>
          </w:tcPr>
          <w:p>
            <w:r/>
            <w:r>
              <w:rPr>
                <w:rFonts w:ascii="Times New Roman" w:hAnsi="Times New Roman"/>
                <w:b/>
                <w:i w:val="0"/>
                <w:sz w:val="26"/>
              </w:rPr>
              <w:t>MAE</w:t>
            </w:r>
          </w:p>
        </w:tc>
      </w:tr>
      <w:tr>
        <w:tc>
          <w:tcPr>
            <w:tcW w:type="dxa" w:w="2880"/>
          </w:tcPr>
          <w:p>
            <w:r/>
            <w:r>
              <w:rPr>
                <w:rFonts w:ascii="Times New Roman" w:hAnsi="Times New Roman"/>
                <w:b w:val="0"/>
                <w:i w:val="0"/>
                <w:sz w:val="26"/>
              </w:rPr>
              <w:t>10%</w:t>
            </w:r>
          </w:p>
        </w:tc>
        <w:tc>
          <w:tcPr>
            <w:tcW w:type="dxa" w:w="2880"/>
          </w:tcPr>
          <w:p>
            <w:r/>
            <w:r>
              <w:rPr>
                <w:rFonts w:ascii="Times New Roman" w:hAnsi="Times New Roman"/>
                <w:b w:val="0"/>
                <w:i w:val="0"/>
                <w:sz w:val="26"/>
              </w:rPr>
              <w:t>0.888</w:t>
            </w:r>
          </w:p>
        </w:tc>
        <w:tc>
          <w:tcPr>
            <w:tcW w:type="dxa" w:w="2880"/>
          </w:tcPr>
          <w:p>
            <w:r/>
            <w:r>
              <w:rPr>
                <w:rFonts w:ascii="Times New Roman" w:hAnsi="Times New Roman"/>
                <w:b w:val="0"/>
                <w:i w:val="0"/>
                <w:sz w:val="26"/>
              </w:rPr>
              <w:t>26.34</w:t>
            </w:r>
          </w:p>
        </w:tc>
      </w:tr>
      <w:tr>
        <w:tc>
          <w:tcPr>
            <w:tcW w:type="dxa" w:w="2880"/>
          </w:tcPr>
          <w:p>
            <w:r/>
            <w:r>
              <w:rPr>
                <w:rFonts w:ascii="Times New Roman" w:hAnsi="Times New Roman"/>
                <w:b w:val="0"/>
                <w:i w:val="0"/>
                <w:sz w:val="26"/>
              </w:rPr>
              <w:t>25%</w:t>
            </w:r>
          </w:p>
        </w:tc>
        <w:tc>
          <w:tcPr>
            <w:tcW w:type="dxa" w:w="2880"/>
          </w:tcPr>
          <w:p>
            <w:r/>
            <w:r>
              <w:rPr>
                <w:rFonts w:ascii="Times New Roman" w:hAnsi="Times New Roman"/>
                <w:b w:val="0"/>
                <w:i w:val="0"/>
                <w:sz w:val="26"/>
              </w:rPr>
              <w:t>0.819</w:t>
            </w:r>
          </w:p>
        </w:tc>
        <w:tc>
          <w:tcPr>
            <w:tcW w:type="dxa" w:w="2880"/>
          </w:tcPr>
          <w:p>
            <w:r/>
            <w:r>
              <w:rPr>
                <w:rFonts w:ascii="Times New Roman" w:hAnsi="Times New Roman"/>
                <w:b w:val="0"/>
                <w:i w:val="0"/>
                <w:sz w:val="26"/>
              </w:rPr>
              <w:t>31.11 (một seed nhiễu)</w:t>
            </w:r>
          </w:p>
        </w:tc>
      </w:tr>
      <w:tr>
        <w:tc>
          <w:tcPr>
            <w:tcW w:type="dxa" w:w="2880"/>
          </w:tcPr>
          <w:p>
            <w:r/>
            <w:r>
              <w:rPr>
                <w:rFonts w:ascii="Times New Roman" w:hAnsi="Times New Roman"/>
                <w:b w:val="0"/>
                <w:i w:val="0"/>
                <w:sz w:val="26"/>
              </w:rPr>
              <w:t>50%</w:t>
            </w:r>
          </w:p>
        </w:tc>
        <w:tc>
          <w:tcPr>
            <w:tcW w:type="dxa" w:w="2880"/>
          </w:tcPr>
          <w:p>
            <w:r/>
            <w:r>
              <w:rPr>
                <w:rFonts w:ascii="Times New Roman" w:hAnsi="Times New Roman"/>
                <w:b w:val="0"/>
                <w:i w:val="0"/>
                <w:sz w:val="26"/>
              </w:rPr>
              <w:t>0.866</w:t>
            </w:r>
          </w:p>
        </w:tc>
        <w:tc>
          <w:tcPr>
            <w:tcW w:type="dxa" w:w="2880"/>
          </w:tcPr>
          <w:p>
            <w:r/>
            <w:r>
              <w:rPr>
                <w:rFonts w:ascii="Times New Roman" w:hAnsi="Times New Roman"/>
                <w:b w:val="0"/>
                <w:i w:val="0"/>
                <w:sz w:val="26"/>
              </w:rPr>
              <w:t>18.33</w:t>
            </w:r>
          </w:p>
        </w:tc>
      </w:tr>
      <w:tr>
        <w:tc>
          <w:tcPr>
            <w:tcW w:type="dxa" w:w="2880"/>
          </w:tcPr>
          <w:p>
            <w:r/>
            <w:r>
              <w:rPr>
                <w:rFonts w:ascii="Times New Roman" w:hAnsi="Times New Roman"/>
                <w:b w:val="0"/>
                <w:i w:val="0"/>
                <w:sz w:val="26"/>
              </w:rPr>
              <w:t>100%</w:t>
            </w:r>
          </w:p>
        </w:tc>
        <w:tc>
          <w:tcPr>
            <w:tcW w:type="dxa" w:w="2880"/>
          </w:tcPr>
          <w:p>
            <w:r/>
            <w:r>
              <w:rPr>
                <w:rFonts w:ascii="Times New Roman" w:hAnsi="Times New Roman"/>
                <w:b w:val="0"/>
                <w:i w:val="0"/>
                <w:sz w:val="26"/>
              </w:rPr>
              <w:t>0.891</w:t>
            </w:r>
          </w:p>
        </w:tc>
        <w:tc>
          <w:tcPr>
            <w:tcW w:type="dxa" w:w="2880"/>
          </w:tcPr>
          <w:p>
            <w:r/>
            <w:r>
              <w:rPr>
                <w:rFonts w:ascii="Times New Roman" w:hAnsi="Times New Roman"/>
                <w:b w:val="0"/>
                <w:i w:val="0"/>
                <w:sz w:val="26"/>
              </w:rPr>
              <w:t>12.77</w:t>
            </w:r>
          </w:p>
        </w:tc>
      </w:tr>
    </w:tbl>
    <w:p/>
    <w:p>
      <w:r>
        <w:rPr>
          <w:rFonts w:ascii="Times New Roman" w:hAnsi="Times New Roman"/>
          <w:b w:val="0"/>
          <w:i w:val="0"/>
          <w:sz w:val="26"/>
        </w:rPr>
        <w:t>Điều này bổ trợ cho luận điểm chính: phần khoảng tin cậy hầu như không tốn nhãn, phù hợp với bối cảnh y tế nơi nhãn khan hiếm.</w:t>
      </w:r>
    </w:p>
    <w:p>
      <w:r>
        <w:rPr>
          <w:rFonts w:ascii="Times New Roman" w:hAnsi="Times New Roman"/>
          <w:b/>
          <w:i w:val="0"/>
          <w:sz w:val="28"/>
        </w:rPr>
        <w:t>3.4 Learned uncertainty bền vững hơn analytic uncertainty khi nén mạnh</w:t>
      </w:r>
    </w:p>
    <w:p>
      <w:r>
        <w:rPr>
          <w:rFonts w:ascii="Times New Roman" w:hAnsi="Times New Roman"/>
          <w:b w:val="0"/>
          <w:i w:val="0"/>
          <w:sz w:val="26"/>
        </w:rPr>
        <w:t>So sánh σ học trực tiếp từ dữ liệu (R2) với σ giải tích Poisson-Binomial (KD) trên cùng student nén nhỏ: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6"/>
              </w:rPr>
              <w:t>Metric</w:t>
            </w:r>
          </w:p>
        </w:tc>
        <w:tc>
          <w:tcPr>
            <w:tcW w:type="dxa" w:w="2160"/>
          </w:tcPr>
          <w:p>
            <w:r/>
            <w:r>
              <w:rPr>
                <w:rFonts w:ascii="Times New Roman" w:hAnsi="Times New Roman"/>
                <w:b/>
                <w:i w:val="0"/>
                <w:sz w:val="26"/>
              </w:rPr>
              <w:t>PB-σ (KD)</w:t>
            </w:r>
          </w:p>
        </w:tc>
        <w:tc>
          <w:tcPr>
            <w:tcW w:type="dxa" w:w="2160"/>
          </w:tcPr>
          <w:p>
            <w:r/>
            <w:r>
              <w:rPr>
                <w:rFonts w:ascii="Times New Roman" w:hAnsi="Times New Roman"/>
                <w:b/>
                <w:i w:val="0"/>
                <w:sz w:val="26"/>
              </w:rPr>
              <w:t>Learned-σ (R2)</w:t>
            </w:r>
          </w:p>
        </w:tc>
        <w:tc>
          <w:tcPr>
            <w:tcW w:type="dxa" w:w="2160"/>
          </w:tcPr>
          <w:p>
            <w:r/>
            <w:r>
              <w:rPr>
                <w:rFonts w:ascii="Times New Roman" w:hAnsi="Times New Roman"/>
                <w:b/>
                <w:i w:val="0"/>
                <w:sz w:val="26"/>
              </w:rPr>
              <w:t>Cải thiện</w:t>
            </w:r>
          </w:p>
        </w:tc>
      </w:tr>
      <w:tr>
        <w:tc>
          <w:tcPr>
            <w:tcW w:type="dxa" w:w="2160"/>
          </w:tcPr>
          <w:p>
            <w:r/>
            <w:r>
              <w:rPr>
                <w:rFonts w:ascii="Times New Roman" w:hAnsi="Times New Roman"/>
                <w:b w:val="0"/>
                <w:i w:val="0"/>
                <w:sz w:val="26"/>
              </w:rPr>
              <w:t>Worst-organ (global)</w:t>
            </w:r>
          </w:p>
        </w:tc>
        <w:tc>
          <w:tcPr>
            <w:tcW w:type="dxa" w:w="2160"/>
          </w:tcPr>
          <w:p>
            <w:r/>
            <w:r>
              <w:rPr>
                <w:rFonts w:ascii="Times New Roman" w:hAnsi="Times New Roman"/>
                <w:b w:val="0"/>
                <w:i w:val="0"/>
                <w:sz w:val="26"/>
              </w:rPr>
              <w:t>0.278</w:t>
            </w:r>
          </w:p>
        </w:tc>
        <w:tc>
          <w:tcPr>
            <w:tcW w:type="dxa" w:w="2160"/>
          </w:tcPr>
          <w:p>
            <w:r/>
            <w:r>
              <w:rPr>
                <w:rFonts w:ascii="Times New Roman" w:hAnsi="Times New Roman"/>
                <w:b w:val="0"/>
                <w:i w:val="0"/>
                <w:sz w:val="26"/>
              </w:rPr>
              <w:t>0.610</w:t>
            </w:r>
          </w:p>
        </w:tc>
        <w:tc>
          <w:tcPr>
            <w:tcW w:type="dxa" w:w="2160"/>
          </w:tcPr>
          <w:p>
            <w:r/>
            <w:r>
              <w:rPr>
                <w:rFonts w:ascii="Times New Roman" w:hAnsi="Times New Roman"/>
                <w:b w:val="0"/>
                <w:i w:val="0"/>
                <w:sz w:val="26"/>
              </w:rPr>
              <w:t>+119%</w:t>
            </w:r>
          </w:p>
        </w:tc>
      </w:tr>
      <w:tr>
        <w:tc>
          <w:tcPr>
            <w:tcW w:type="dxa" w:w="2160"/>
          </w:tcPr>
          <w:p>
            <w:r/>
            <w:r>
              <w:rPr>
                <w:rFonts w:ascii="Times New Roman" w:hAnsi="Times New Roman"/>
                <w:b w:val="0"/>
                <w:i w:val="0"/>
                <w:sz w:val="26"/>
              </w:rPr>
              <w:t>Worst-organ (cluster)</w:t>
            </w:r>
          </w:p>
        </w:tc>
        <w:tc>
          <w:tcPr>
            <w:tcW w:type="dxa" w:w="2160"/>
          </w:tcPr>
          <w:p>
            <w:r/>
            <w:r>
              <w:rPr>
                <w:rFonts w:ascii="Times New Roman" w:hAnsi="Times New Roman"/>
                <w:b w:val="0"/>
                <w:i w:val="0"/>
                <w:sz w:val="26"/>
              </w:rPr>
              <w:t>0.658</w:t>
            </w:r>
          </w:p>
        </w:tc>
        <w:tc>
          <w:tcPr>
            <w:tcW w:type="dxa" w:w="2160"/>
          </w:tcPr>
          <w:p>
            <w:r/>
            <w:r>
              <w:rPr>
                <w:rFonts w:ascii="Times New Roman" w:hAnsi="Times New Roman"/>
                <w:b w:val="0"/>
                <w:i w:val="0"/>
                <w:sz w:val="26"/>
              </w:rPr>
              <w:t>0.750</w:t>
            </w:r>
          </w:p>
        </w:tc>
        <w:tc>
          <w:tcPr>
            <w:tcW w:type="dxa" w:w="2160"/>
          </w:tcPr>
          <w:p>
            <w:r/>
            <w:r>
              <w:rPr>
                <w:rFonts w:ascii="Times New Roman" w:hAnsi="Times New Roman"/>
                <w:b w:val="0"/>
                <w:i w:val="0"/>
                <w:sz w:val="26"/>
              </w:rPr>
              <w:t>+14%</w:t>
            </w:r>
          </w:p>
        </w:tc>
      </w:tr>
      <w:tr>
        <w:tc>
          <w:tcPr>
            <w:tcW w:type="dxa" w:w="2160"/>
          </w:tcPr>
          <w:p>
            <w:r/>
            <w:r>
              <w:rPr>
                <w:rFonts w:ascii="Times New Roman" w:hAnsi="Times New Roman"/>
                <w:b w:val="0"/>
                <w:i w:val="0"/>
                <w:sz w:val="26"/>
              </w:rPr>
              <w:t>MAE</w:t>
            </w:r>
          </w:p>
        </w:tc>
        <w:tc>
          <w:tcPr>
            <w:tcW w:type="dxa" w:w="2160"/>
          </w:tcPr>
          <w:p>
            <w:r/>
            <w:r>
              <w:rPr>
                <w:rFonts w:ascii="Times New Roman" w:hAnsi="Times New Roman"/>
                <w:b w:val="0"/>
                <w:i w:val="0"/>
                <w:sz w:val="26"/>
              </w:rPr>
              <w:t>21.71</w:t>
            </w:r>
          </w:p>
        </w:tc>
        <w:tc>
          <w:tcPr>
            <w:tcW w:type="dxa" w:w="2160"/>
          </w:tcPr>
          <w:p>
            <w:r/>
            <w:r>
              <w:rPr>
                <w:rFonts w:ascii="Times New Roman" w:hAnsi="Times New Roman"/>
                <w:b w:val="0"/>
                <w:i w:val="0"/>
                <w:sz w:val="26"/>
              </w:rPr>
              <w:t>14.72</w:t>
            </w:r>
          </w:p>
        </w:tc>
        <w:tc>
          <w:tcPr>
            <w:tcW w:type="dxa" w:w="2160"/>
          </w:tcPr>
          <w:p>
            <w:r/>
            <w:r>
              <w:rPr>
                <w:rFonts w:ascii="Times New Roman" w:hAnsi="Times New Roman"/>
                <w:b w:val="0"/>
                <w:i w:val="0"/>
                <w:sz w:val="26"/>
              </w:rPr>
              <w:t>-32%</w:t>
            </w:r>
          </w:p>
        </w:tc>
      </w:tr>
    </w:tbl>
    <w:p/>
    <w:p>
      <w:r>
        <w:rPr>
          <w:rFonts w:ascii="Times New Roman" w:hAnsi="Times New Roman"/>
          <w:b w:val="0"/>
          <w:i/>
          <w:sz w:val="26"/>
        </w:rPr>
        <w:t>Ghi chú trung thực: chênh lệch rất lớn (+119%) xuất hiện ở chế độ global — nơi σ giải tích PB sập cấu trúc; ở chế độ cluster chênh lệch thu hẹp còn +14%. Điểm cần nhấn không phải con số +119% mà là learned-σ ổn định qua cả hai chế độ trong khi PB-σ thì không. Đây là bằng chứng cho thấy uncertainty học được bền vững hơn uncertainty giải tích sau khi mô hình bị nén, đồng thời củng cố lựa chọn thiết kế Poisson-anchored sigma (§2).</w:t>
      </w:r>
    </w:p>
    <w:p>
      <w:r>
        <w:rPr>
          <w:rFonts w:ascii="Times New Roman" w:hAnsi="Times New Roman"/>
          <w:b/>
          <w:i w:val="0"/>
          <w:sz w:val="28"/>
        </w:rPr>
        <w:t>3.5 Khả năng transfer của reliability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6"/>
              </w:rPr>
              <w:t>Transfer</w:t>
            </w:r>
          </w:p>
        </w:tc>
        <w:tc>
          <w:tcPr>
            <w:tcW w:type="dxa" w:w="2880"/>
          </w:tcPr>
          <w:p>
            <w:r/>
            <w:r>
              <w:rPr>
                <w:rFonts w:ascii="Times New Roman" w:hAnsi="Times New Roman"/>
                <w:b/>
                <w:i w:val="0"/>
                <w:sz w:val="26"/>
              </w:rPr>
              <w:t>Coverage</w:t>
            </w:r>
          </w:p>
        </w:tc>
        <w:tc>
          <w:tcPr>
            <w:tcW w:type="dxa" w:w="2880"/>
          </w:tcPr>
          <w:p>
            <w:r/>
            <w:r>
              <w:rPr>
                <w:rFonts w:ascii="Times New Roman" w:hAnsi="Times New Roman"/>
                <w:b/>
                <w:i w:val="0"/>
                <w:sz w:val="26"/>
              </w:rPr>
              <w:t>Nhận xét</w:t>
            </w:r>
          </w:p>
        </w:tc>
      </w:tr>
      <w:tr>
        <w:tc>
          <w:tcPr>
            <w:tcW w:type="dxa" w:w="2880"/>
          </w:tcPr>
          <w:p>
            <w:r/>
            <w:r>
              <w:rPr>
                <w:rFonts w:ascii="Times New Roman" w:hAnsi="Times New Roman"/>
                <w:b w:val="0"/>
                <w:i w:val="0"/>
                <w:sz w:val="26"/>
              </w:rPr>
              <w:t>NuInsSeg → PanNuke</w:t>
            </w:r>
          </w:p>
        </w:tc>
        <w:tc>
          <w:tcPr>
            <w:tcW w:type="dxa" w:w="2880"/>
          </w:tcPr>
          <w:p>
            <w:r/>
            <w:r>
              <w:rPr>
                <w:rFonts w:ascii="Times New Roman" w:hAnsi="Times New Roman"/>
                <w:b w:val="0"/>
                <w:i w:val="0"/>
                <w:sz w:val="26"/>
              </w:rPr>
              <w:t>0.897</w:t>
            </w:r>
          </w:p>
        </w:tc>
        <w:tc>
          <w:tcPr>
            <w:tcW w:type="dxa" w:w="2880"/>
          </w:tcPr>
          <w:p>
            <w:r/>
            <w:r>
              <w:rPr>
                <w:rFonts w:ascii="Times New Roman" w:hAnsi="Times New Roman"/>
                <w:b w:val="0"/>
                <w:i w:val="0"/>
                <w:sz w:val="26"/>
              </w:rPr>
              <w:t>gần bằng in-domain</w:t>
            </w:r>
          </w:p>
        </w:tc>
      </w:tr>
      <w:tr>
        <w:tc>
          <w:tcPr>
            <w:tcW w:type="dxa" w:w="2880"/>
          </w:tcPr>
          <w:p>
            <w:r/>
            <w:r>
              <w:rPr>
                <w:rFonts w:ascii="Times New Roman" w:hAnsi="Times New Roman"/>
                <w:b w:val="0"/>
                <w:i w:val="0"/>
                <w:sz w:val="26"/>
              </w:rPr>
              <w:t>NuInsSeg → CryoNuSeg</w:t>
            </w:r>
          </w:p>
        </w:tc>
        <w:tc>
          <w:tcPr>
            <w:tcW w:type="dxa" w:w="2880"/>
          </w:tcPr>
          <w:p>
            <w:r/>
            <w:r>
              <w:rPr>
                <w:rFonts w:ascii="Times New Roman" w:hAnsi="Times New Roman"/>
                <w:b w:val="0"/>
                <w:i w:val="0"/>
                <w:sz w:val="26"/>
              </w:rPr>
              <w:t>0.967</w:t>
            </w:r>
          </w:p>
        </w:tc>
        <w:tc>
          <w:tcPr>
            <w:tcW w:type="dxa" w:w="2880"/>
          </w:tcPr>
          <w:p>
            <w:r/>
            <w:r>
              <w:rPr>
                <w:rFonts w:ascii="Times New Roman" w:hAnsi="Times New Roman"/>
                <w:b w:val="0"/>
                <w:i w:val="0"/>
                <w:sz w:val="26"/>
              </w:rPr>
              <w:t>reliability vẫn duy trì</w:t>
            </w:r>
          </w:p>
        </w:tc>
      </w:tr>
    </w:tbl>
    <w:p/>
    <w:p>
      <w:r>
        <w:rPr>
          <w:rFonts w:ascii="Times New Roman" w:hAnsi="Times New Roman"/>
          <w:b w:val="0"/>
          <w:i w:val="0"/>
          <w:sz w:val="26"/>
        </w:rPr>
        <w:t>Đầu ra phân phối (μ, σ) transfer được sang dataset khác mà không cần train lại, cho thấy reliability không phụ thuộc một tập dữ liệu duy nhất. Giới hạn trung thực: transfer sang MoNuSAC không giữ được do chênh lệch độ phân giải khiến nhân bị co ~4 lần (scale gap), được ghi rõ là giới hạn về scale.</w:t>
      </w:r>
    </w:p>
    <w:p>
      <w:r>
        <w:rPr>
          <w:rFonts w:ascii="Times New Roman" w:hAnsi="Times New Roman"/>
          <w:b/>
          <w:i w:val="0"/>
          <w:sz w:val="28"/>
        </w:rPr>
        <w:t>3.6 Hiệu quả mô hình</w:t>
      </w:r>
    </w:p>
    <w:p>
      <w:r>
        <w:rPr>
          <w:rFonts w:ascii="Times New Roman" w:hAnsi="Times New Roman"/>
          <w:b w:val="0"/>
          <w:i w:val="0"/>
          <w:sz w:val="26"/>
        </w:rPr>
        <w:t>Student chỉ 1.935M tham số (nén ~330 lần so với teacher 640M) và có thể hạ tiếp xuống ~0.5M (cấu hình ch16, tương đương nén ~1280 lần) mà không mất chất lượng — trên NuInsSeg còn nhỉnh, trên PanNuke hòa. Đây là mô hình nhỏ nhất trong nhóm so sánh vẫn cung cấp được khoảng dự đoán có độ tin cậy.</w:t>
      </w:r>
    </w:p>
    <w:p>
      <w:r>
        <w:rPr>
          <w:rFonts w:ascii="Times New Roman" w:hAnsi="Times New Roman"/>
          <w:b/>
          <w:i w:val="0"/>
          <w:sz w:val="30"/>
        </w:rPr>
        <w:t>4. Đóng góp chính của nghiên cứu</w:t>
      </w:r>
    </w:p>
    <w:p>
      <w:pPr>
        <w:pStyle w:val="ListBullet"/>
      </w:pPr>
      <w:r>
        <w:rPr>
          <w:rFonts w:ascii="Times New Roman" w:hAnsi="Times New Roman"/>
          <w:b w:val="0"/>
          <w:i w:val="0"/>
          <w:sz w:val="26"/>
        </w:rPr>
        <w:t>Chứng minh bằng thực nghiệm lợi ích label-efficiency: distillation đạt chất lượng ngang giám sát bằng mask nhưng chỉ cần giám sát mức đếm, tiết kiệm khoảng 5–10 lần chi phí annotation (đóng góp trung tâm).</w:t>
      </w:r>
    </w:p>
    <w:p>
      <w:pPr>
        <w:pStyle w:val="ListBullet"/>
      </w:pPr>
      <w:r>
        <w:rPr>
          <w:rFonts w:ascii="Times New Roman" w:hAnsi="Times New Roman"/>
          <w:b w:val="0"/>
          <w:i w:val="0"/>
          <w:sz w:val="26"/>
        </w:rPr>
        <w:t>Đề xuất hướng thích nghi pathology foundation model cho cell counting chỉ với count-level supervision.</w:t>
      </w:r>
    </w:p>
    <w:p>
      <w:pPr>
        <w:pStyle w:val="ListBullet"/>
      </w:pPr>
      <w:r>
        <w:rPr>
          <w:rFonts w:ascii="Times New Roman" w:hAnsi="Times New Roman"/>
          <w:b w:val="0"/>
          <w:i w:val="0"/>
          <w:sz w:val="26"/>
        </w:rPr>
        <w:t>Xây dựng student 1.9M (hạ tới 0.5M) dự đoán đồng thời count và uncertainty calibrated, nhỏ nhất trong nhóm có UQ; đầu ra phân phối dẫn đầu dàn baseline conformal trên PanNuke.</w:t>
      </w:r>
    </w:p>
    <w:p>
      <w:pPr>
        <w:pStyle w:val="ListBullet"/>
      </w:pPr>
      <w:r>
        <w:rPr>
          <w:rFonts w:ascii="Times New Roman" w:hAnsi="Times New Roman"/>
          <w:b w:val="0"/>
          <w:i w:val="0"/>
          <w:sz w:val="26"/>
        </w:rPr>
        <w:t>Chỉ ra learned uncertainty bền vững hơn analytic uncertainty sau khi nén mạnh, và có khả năng transfer reliability giữa các dataset.</w:t>
      </w:r>
    </w:p>
    <w:p>
      <w:r>
        <w:rPr>
          <w:rFonts w:ascii="Times New Roman" w:hAnsi="Times New Roman"/>
          <w:b/>
          <w:i w:val="0"/>
          <w:sz w:val="30"/>
        </w:rPr>
        <w:t>5. Kết luận hiện tại</w:t>
      </w:r>
    </w:p>
    <w:p>
      <w:r>
        <w:rPr>
          <w:rFonts w:ascii="Times New Roman" w:hAnsi="Times New Roman"/>
          <w:b w:val="0"/>
          <w:i w:val="0"/>
          <w:sz w:val="26"/>
        </w:rPr>
        <w:t>Kết quả hiện tại cho thấy hoàn toàn khả thi để chuyển tri thức từ pathology foundation model sang một bộ đếm tế bào rất nhỏ, chỉ cần supervision mức đếm thay vì mask annotation, mà vẫn đạt độ chính xác và reliability tương đương giám sát bằng mask với chi phí nhãn thấp hơn nhiều lần. Toàn bộ thí nghiệm đã hoàn tất; bước tiếp theo là hoàn thiện manuscript theo hướng label-efficient foundation-model adaptation for trustworthy cell counting, phù hợp cho một bài báo Q1.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