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C9652A"/>
          <w:spacing w:val="40"/>
          <w:sz w:val="16"/>
          <w:szCs w:val="16"/>
        </w:rPr>
        <w:t xml:space="preserve">SWP490 · CAPSTONE PROJECT · REVIEW 2 · BM02</w:t>
      </w:r>
    </w:p>
    <w:p>
      <w:pPr>
        <w:pStyle w:val="Heading1"/>
        <w:spacing w:after="160" w:before="120"/>
      </w:pPr>
      <w:r>
        <w:rPr>
          <w:rFonts w:ascii="Calibri" w:cs="Calibri" w:eastAsia="Calibri" w:hAnsi="Calibri"/>
          <w:b/>
          <w:bCs/>
          <w:color w:val="14233A"/>
          <w:sz w:val="32"/>
          <w:szCs w:val="32"/>
        </w:rPr>
        <w:t xml:space="preserve">SRS/SDD Self-Review Report – Review 2</w:t>
      </w:r>
    </w:p>
    <w:p>
      <w:pPr>
        <w:pStyle w:val="Heading2"/>
        <w:spacing w:after="100" w:before="240"/>
      </w:pPr>
      <w:r>
        <w:rPr>
          <w:rFonts w:ascii="Calibri" w:cs="Calibri" w:eastAsia="Calibri" w:hAnsi="Calibri"/>
          <w:b/>
          <w:bCs/>
          <w:color w:val="14233A"/>
          <w:sz w:val="24"/>
          <w:szCs w:val="24"/>
        </w:rPr>
        <w:t xml:space="preserve">1. Run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Project code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FA26SE036</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Project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Develop an AI-Assisted Omnichannel Order Fulfillment and Packaging Optimization System (OptiPack AI)</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OptiPack AI – Nguyễn Phương Mỹ Thuận (leader), Lê Đức Trung Thi, Huỳnh Quốc Việt, Phan Huỳnh Hải Phượng</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Supervisor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Thân Thị Ngọc Vân</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AI tool and model</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Claude (Cowork mode, Claude desktop app) with read access to the whole repository; model claude-opus-5-5</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Run 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25/10/2026</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Repository tag / commit</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https://github.com/ThuaanNguyeen111/OptiPackAI – tag review-2, commit 1a3101cb930983c2a643605740e8a9752042c00b</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Registration form version used</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Version 1.1 (proposed final, 25/10/2026) with Form BM03</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Version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1.0</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25/10/2026</w:t>
            </w:r>
          </w:p>
        </w:tc>
      </w:tr>
    </w:tbl>
    <w:p>
      <w:pPr>
        <w:pStyle w:val="Heading2"/>
        <w:spacing w:after="100" w:before="240"/>
      </w:pPr>
      <w:r>
        <w:rPr>
          <w:rFonts w:ascii="Calibri" w:cs="Calibri" w:eastAsia="Calibri" w:hAnsi="Calibri"/>
          <w:b/>
          <w:bCs/>
          <w:color w:val="14233A"/>
          <w:sz w:val="24"/>
          <w:szCs w:val="24"/>
        </w:rPr>
        <w:t xml:space="preserve">2. Standard 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4CA" w:sz="4"/>
              <w:left w:val="single" w:color="D9D4CA" w:sz="4"/>
              <w:bottom w:val="single" w:color="D9D4CA" w:sz="4"/>
              <w:right w:val="single" w:color="D9D4CA" w:sz="4"/>
            </w:tcBorders>
            <w:shd w:fill="F2F2F2" w:color="auto" w:val="clear"/>
            <w:tcMar>
              <w:top w:type="dxa" w:w="100"/>
              <w:left w:type="dxa" w:w="140"/>
              <w:bottom w:type="dxa" w:w="100"/>
              <w:right w:type="dxa" w:w="140"/>
            </w:tcMar>
          </w:tcPr>
          <w:p>
            <w:r>
              <w:rPr>
                <w:rFonts w:ascii="Consolas" w:cs="Consolas" w:eastAsia="Consolas" w:hAnsi="Consolas"/>
                <w:sz w:val="17"/>
                <w:szCs w:val="17"/>
              </w:rPr>
              <w:t xml:space="preserve">You are reviewing the SRS and SDD of a software capstone project against its</w:t>
            </w:r>
          </w:p>
          <w:p>
            <w:r>
              <w:rPr>
                <w:rFonts w:ascii="Consolas" w:cs="Consolas" w:eastAsia="Consolas" w:hAnsi="Consolas"/>
                <w:sz w:val="17"/>
                <w:szCs w:val="17"/>
              </w:rPr>
              <w:t xml:space="preserve">registration form and source code. Report only; do not change any file.</w:t>
            </w:r>
          </w:p>
          <w:p>
            <w:r>
              <w:rPr>
                <w:rFonts w:ascii="Consolas" w:cs="Consolas" w:eastAsia="Consolas" w:hAnsi="Consolas"/>
                <w:sz w:val="17"/>
                <w:szCs w:val="17"/>
              </w:rPr>
              <w:t xml:space="preserve"/>
            </w:r>
          </w:p>
          <w:p>
            <w:r>
              <w:rPr>
                <w:rFonts w:ascii="Consolas" w:cs="Consolas" w:eastAsia="Consolas" w:hAnsi="Consolas"/>
                <w:sz w:val="17"/>
                <w:szCs w:val="17"/>
              </w:rPr>
              <w:t xml:space="preserve">Inputs: the registration form, SRS, SDD (with diagrams), source code and</w:t>
            </w:r>
          </w:p>
          <w:p>
            <w:r>
              <w:rPr>
                <w:rFonts w:ascii="Consolas" w:cs="Consolas" w:eastAsia="Consolas" w:hAnsi="Consolas"/>
                <w:sz w:val="17"/>
                <w:szCs w:val="17"/>
              </w:rPr>
              <w:t xml:space="preserve">database script in this repository.</w:t>
            </w:r>
          </w:p>
          <w:p>
            <w:r>
              <w:rPr>
                <w:rFonts w:ascii="Consolas" w:cs="Consolas" w:eastAsia="Consolas" w:hAnsi="Consolas"/>
                <w:sz w:val="17"/>
                <w:szCs w:val="17"/>
              </w:rPr>
              <w:t xml:space="preserve"/>
            </w:r>
          </w:p>
          <w:p>
            <w:r>
              <w:rPr>
                <w:rFonts w:ascii="Consolas" w:cs="Consolas" w:eastAsia="Consolas" w:hAnsi="Consolas"/>
                <w:sz w:val="17"/>
                <w:szCs w:val="17"/>
              </w:rPr>
              <w:t xml:space="preserve">Check:</w:t>
            </w:r>
          </w:p>
          <w:p>
            <w:r>
              <w:rPr>
                <w:rFonts w:ascii="Consolas" w:cs="Consolas" w:eastAsia="Consolas" w:hAnsi="Consolas"/>
                <w:sz w:val="17"/>
                <w:szCs w:val="17"/>
              </w:rPr>
              <w:t xml:space="preserve">1. Scope: FRs in the SRS not covered by the registration form, and</w:t>
            </w:r>
          </w:p>
          <w:p>
            <w:r>
              <w:rPr>
                <w:rFonts w:ascii="Consolas" w:cs="Consolas" w:eastAsia="Consolas" w:hAnsi="Consolas"/>
                <w:sz w:val="17"/>
                <w:szCs w:val="17"/>
              </w:rPr>
              <w:t xml:space="preserve">   registration items with no FR.</w:t>
            </w:r>
          </w:p>
          <w:p>
            <w:r>
              <w:rPr>
                <w:rFonts w:ascii="Consolas" w:cs="Consolas" w:eastAsia="Consolas" w:hAnsi="Consolas"/>
                <w:sz w:val="17"/>
                <w:szCs w:val="17"/>
              </w:rPr>
              <w:t xml:space="preserve">2. Requirements: FRs without an actor or testable acceptance criteria;</w:t>
            </w:r>
          </w:p>
          <w:p>
            <w:r>
              <w:rPr>
                <w:rFonts w:ascii="Consolas" w:cs="Consolas" w:eastAsia="Consolas" w:hAnsi="Consolas"/>
                <w:sz w:val="17"/>
                <w:szCs w:val="17"/>
              </w:rPr>
              <w:t xml:space="preserve">   NFRs without metric, threshold and measurement method.</w:t>
            </w:r>
          </w:p>
          <w:p>
            <w:r>
              <w:rPr>
                <w:rFonts w:ascii="Consolas" w:cs="Consolas" w:eastAsia="Consolas" w:hAnsi="Consolas"/>
                <w:sz w:val="17"/>
                <w:szCs w:val="17"/>
              </w:rPr>
              <w:t xml:space="preserve">3. Data: entities missing from the Logical ERD; ERD entities or attributes</w:t>
            </w:r>
          </w:p>
          <w:p>
            <w:r>
              <w:rPr>
                <w:rFonts w:ascii="Consolas" w:cs="Consolas" w:eastAsia="Consolas" w:hAnsi="Consolas"/>
                <w:sz w:val="17"/>
                <w:szCs w:val="17"/>
              </w:rPr>
              <w:t xml:space="preserve">   missing from the database script, and tables not in the ERD.</w:t>
            </w:r>
          </w:p>
          <w:p>
            <w:r>
              <w:rPr>
                <w:rFonts w:ascii="Consolas" w:cs="Consolas" w:eastAsia="Consolas" w:hAnsi="Consolas"/>
                <w:sz w:val="17"/>
                <w:szCs w:val="17"/>
              </w:rPr>
              <w:t xml:space="preserve">4. States: for each main entity, states used in code but missing from its</w:t>
            </w:r>
          </w:p>
          <w:p>
            <w:r>
              <w:rPr>
                <w:rFonts w:ascii="Consolas" w:cs="Consolas" w:eastAsia="Consolas" w:hAnsi="Consolas"/>
                <w:sz w:val="17"/>
                <w:szCs w:val="17"/>
              </w:rPr>
              <w:t xml:space="preserve">   state machine; transitions with no triggering FR; states with no exit.</w:t>
            </w:r>
          </w:p>
          <w:p>
            <w:r>
              <w:rPr>
                <w:rFonts w:ascii="Consolas" w:cs="Consolas" w:eastAsia="Consolas" w:hAnsi="Consolas"/>
                <w:sz w:val="17"/>
                <w:szCs w:val="17"/>
              </w:rPr>
              <w:t xml:space="preserve">5. Flows: main business flows in activity diagrams with no implementation</w:t>
            </w:r>
          </w:p>
          <w:p>
            <w:r>
              <w:rPr>
                <w:rFonts w:ascii="Consolas" w:cs="Consolas" w:eastAsia="Consolas" w:hAnsi="Consolas"/>
                <w:sz w:val="17"/>
                <w:szCs w:val="17"/>
              </w:rPr>
              <w:t xml:space="preserve">   or no test.</w:t>
            </w:r>
          </w:p>
          <w:p>
            <w:r>
              <w:rPr>
                <w:rFonts w:ascii="Consolas" w:cs="Consolas" w:eastAsia="Consolas" w:hAnsi="Consolas"/>
                <w:sz w:val="17"/>
                <w:szCs w:val="17"/>
              </w:rPr>
              <w:t xml:space="preserve">6. Architecture: components or third-party services in code but not in the</w:t>
            </w:r>
          </w:p>
          <w:p>
            <w:r>
              <w:rPr>
                <w:rFonts w:ascii="Consolas" w:cs="Consolas" w:eastAsia="Consolas" w:hAnsi="Consolas"/>
                <w:sz w:val="17"/>
                <w:szCs w:val="17"/>
              </w:rPr>
              <w:t xml:space="preserve">   architecture diagram, and the reverse.</w:t>
            </w:r>
          </w:p>
          <w:p>
            <w:r>
              <w:rPr>
                <w:rFonts w:ascii="Consolas" w:cs="Consolas" w:eastAsia="Consolas" w:hAnsi="Consolas"/>
                <w:sz w:val="17"/>
                <w:szCs w:val="17"/>
              </w:rPr>
              <w:t xml:space="preserve">7. Design vs code: modules, APIs or business rules implemented differently</w:t>
            </w:r>
          </w:p>
          <w:p>
            <w:r>
              <w:rPr>
                <w:rFonts w:ascii="Consolas" w:cs="Consolas" w:eastAsia="Consolas" w:hAnsi="Consolas"/>
                <w:sz w:val="17"/>
                <w:szCs w:val="17"/>
              </w:rPr>
              <w:t xml:space="preserve">   from the SDD.</w:t>
            </w:r>
          </w:p>
          <w:p>
            <w:r>
              <w:rPr>
                <w:rFonts w:ascii="Consolas" w:cs="Consolas" w:eastAsia="Consolas" w:hAnsi="Consolas"/>
                <w:sz w:val="17"/>
                <w:szCs w:val="17"/>
              </w:rPr>
              <w:t xml:space="preserve"/>
            </w:r>
          </w:p>
          <w:p>
            <w:r>
              <w:rPr>
                <w:rFonts w:ascii="Consolas" w:cs="Consolas" w:eastAsia="Consolas" w:hAnsi="Consolas"/>
                <w:sz w:val="17"/>
                <w:szCs w:val="17"/>
              </w:rPr>
              <w:t xml:space="preserve">Output one table: ID | Category | Location | Finding | Severity</w:t>
            </w:r>
          </w:p>
          <w:p>
            <w:r>
              <w:rPr>
                <w:rFonts w:ascii="Consolas" w:cs="Consolas" w:eastAsia="Consolas" w:hAnsi="Consolas"/>
                <w:sz w:val="17"/>
                <w:szCs w:val="17"/>
              </w:rPr>
              <w:t xml:space="preserve">(High/Medium/Low) | Evidence. Then list the 5 most important findings.</w:t>
            </w:r>
          </w:p>
          <w:p>
            <w:r>
              <w:rPr>
                <w:rFonts w:ascii="Consolas" w:cs="Consolas" w:eastAsia="Consolas" w:hAnsi="Consolas"/>
                <w:sz w:val="17"/>
                <w:szCs w:val="17"/>
              </w:rPr>
              <w:t xml:space="preserve">If something cannot be verified from the repository, say so; do not guess.</w:t>
            </w:r>
          </w:p>
        </w:tc>
      </w:tr>
    </w:tbl>
    <w:p>
      <w:pPr>
        <w:pStyle w:val="Heading2"/>
        <w:spacing w:after="100" w:before="240"/>
      </w:pPr>
      <w:r>
        <w:rPr>
          <w:rFonts w:ascii="Calibri" w:cs="Calibri" w:eastAsia="Calibri" w:hAnsi="Calibri"/>
          <w:b/>
          <w:bCs/>
          <w:color w:val="14233A"/>
          <w:sz w:val="24"/>
          <w:szCs w:val="24"/>
        </w:rPr>
        <w:t xml:space="preserve">3. Findings and Team Response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
        <w:gridCol w:w="1063"/>
        <w:gridCol w:w="1329"/>
        <w:gridCol w:w="2326"/>
        <w:gridCol w:w="930"/>
        <w:gridCol w:w="1329"/>
        <w:gridCol w:w="1997"/>
      </w:tblGrid>
      <w:tr>
        <w:trPr>
          <w:tblHeader/>
        </w:trPr>
        <w:tc>
          <w:tcPr>
            <w:tcW w:type="dxa" w:w="66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10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Category</w:t>
            </w:r>
          </w:p>
        </w:tc>
        <w:tc>
          <w:tcPr>
            <w:tcW w:type="dxa" w:w="132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Location</w:t>
            </w:r>
          </w:p>
        </w:tc>
        <w:tc>
          <w:tcPr>
            <w:tcW w:type="dxa" w:w="232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Finding</w:t>
            </w:r>
          </w:p>
        </w:tc>
        <w:tc>
          <w:tcPr>
            <w:tcW w:type="dxa" w:w="93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Severity</w:t>
            </w:r>
          </w:p>
        </w:tc>
        <w:tc>
          <w:tcPr>
            <w:tcW w:type="dxa" w:w="132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Evidence</w:t>
            </w:r>
          </w:p>
        </w:tc>
        <w:tc>
          <w:tcPr>
            <w:tcW w:type="dxa" w:w="199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Team response</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F01</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Scope</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Registration v1.1 §3.2 "Products – Mobile Application"; SRS §4.1; SDD §1.1</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The registration still lists a Mobile Application (warehouse picking, packing confirmation, barcode/QR scanning, shipment tracking, push notifications) but the SRS has no FR for it; SRS and SDD only state "planned for Iteration 3". No mobile source code exists in the repository.</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High</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Registration v1.1 "Mobile Application" bullets; SRS 4.1 "a mobile scanning app is planned for Iteration 3 and is not part of this release"; SDD 1.1 component row "Mobile app – Flutter (planned)"; repository tree has only be/, fe/, storefront/, packer/.</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Planned – Việt, 20/11/2026: build the Flutter mobile app in Iteration 3 (Design Brief G1).</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F02</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Scope</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Registration v1.1 §3.1 "Order Consolidation – Merge orders from different platforms"; SRS BR-01, BR-03, §3.3.2; code</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The registration requires merging orders from different platforms, but the SRS limits grouping to the same shop and the code deliberately puts platform into the consolidation key, so orders of different platforms are never merged. No FR covers cross-platform merging.</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High</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SRS BR-01 "Orders of the same shop with the same consolidation key…", BR-03 "merge requires same shop"; be/src/modules/orders/utils/consolidation-key.util.ts lines 70–80 ("platform BẮT BUỘC có mặt trong key").</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Kept – each platform has its own carrier order, so orders of different platforms stay in separate groups; same-recipient groups can be linked (UC-16). Wording to be confirmed with the reviewers at Review 2 (Design Brief G6).</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F03</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States</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SDD §3.8; SDD §3 workflow table</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Only the Order Group has a state machine diagram. Packing Plan, Shipment, Return Request and Order have lifecycles in code and in the SDD workflow table but no state machine diagram.</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High</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SDD 3.8 contains only "Figure 11. State machine diagram – Order Group"; be/src/modules/packing/schemas/packing-plan.schema.ts lines 21–31 (PACKING_PLAN_STATUSES); be/src/modules/shipments/enums/shipment-status.enum.ts; be/src/modules/shipments/enums/return.enums.ts; be/src/modules/orders/enums/order-status.enum.ts.</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Planned – Thuận, 08/11/2026: PlantUML state machines for Packing Plan, Shipment, Return Request and Order, added to SDD 3.8 (Design Brief G7).</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F04</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Architecture</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SDD Figure 1; docs/diagrams/architecture/general_architecture_diagram.puml</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The architecture diagram shows a "Mobile App (Flutter)" container that does not exist in code, and omits components and services that do exist: the AURELLE website (Next.js, storefront/), the AURELLE Open API simulator (be/scripts/aurelle-mock-server.ts), Google OAuth and Gmail SMTP. The SDD text (§1.1) describes two web front ends and the simulator, so diagram and text disagree.</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High</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general_architecture_diagram.puml line 14 Container(FE_APP, "Mobile App", "Flutter"); no Next.js / storefront container; storefront/app/; be/scripts/aurelle-mock-server.ts; be/src/modules/auth/auth.service.ts (Google userinfo); be/src/modules/mail/mail.service.ts.</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Planned – Thuận, 08/11/2026: update general_architecture_diagram.puml to match SDD 1.1 (Design Brief G8).</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F05</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Data</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SRS Figure 8 / SDD Figure 3 (Logical ERD); SRS §3.1.5 entity table; be/src//schemas</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The Logical ERD (22 entities) is missing many main entities that are listed in the SRS entity table and exist as collections: Stock Reservation, Pick Event, Warehouse / Zone / Bin Location, SKU Bin Assignment, Inventory Movement, Category / Colour / Master SKU, Marketplace SKU Mapping, Product Master, Shipment Event, Notification, Activity Log, Status Outbox, Packing Settings. Staff roles (Store Owner, Warehouse Staff, Packaging Staff, Shipping Coordinator) are drawn as separate entities while the code has a single users collection with a role; "Website" has no collection.</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High</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ERD image docs/diagrams/erd/export/erd.png and erd.puml; SRS 3.1.5 rows 1–20; collections users, stock_reservations, pick_events, bin_locations, sku_bin_assignments, inventory_movements, master_skus, marketplace_sku_mappings, product_master, shipment_events, notifications, activity_logs, marketplace_status_outbox.</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Planned – Thi, 15/11/2026: extend the Logical ERD to all main entities (Design Brief G9).</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F06</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Data</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Repository (database script)</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No database script exists in the repository (collections are defined only by Mongoose schemas; be/scripts holds seed and migration scripts). Therefore "ERD entities or attributes missing from the database script" cannot be verified. The code defines 57 collections versus 22 entities in the ERD.</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Medium</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git grep "collection: '" under be/src → 57 distinct collections; be/scripts/ contains seed-*.ts, migrate-*.ts, backfill-*.ts only.</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Planned – Thi, 15/11/2026: add a database script (collections and indexes) matching the ERD (Design Brief G9).</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F07</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Scope</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Registration v1.1 §3.1 "Order Consolidation – Group orders by warehouse"; "Warehouse Fulfillment – Batch Picking"</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No FR in the SRS for grouping orders by warehouse or for batch picking across several order groups; picking is defined per order group (SRS 3.5.1). The code has a picking-route endpoint described as "wave picking … (Mobile App)" that the SRS does not mention.</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Medium</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SRS 3.3.2 (key = platform + phone + address + city), 3.5.1; be/src/modules/warehouse/warehouse.controller.ts line 471.</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Kept – picking is done per order group by design (stock is reserved per group; orders of the same recipient are already grouped and a group belongs to one warehouse). The picking-route endpoint is kept for the mobile app planned in Iteration 3.</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F08</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Scope</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Registration v1.1 §3.1 "Shipping Cost Estimation" (volumetric weight, packaging cost, total fulfillment cost; recommend courier, delivery method, expected delivery time)</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The SRS has no explicit FR or acceptance criteria for volumetric weight, packaging cost, total fulfillment cost or expected delivery time; it only states "compare quotes, choose carrier and service" (UC-37). The code contains GHN lead time, converted weight and packing cost objective, which are not specified.</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Medium</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SRS UC-37, 3.7.1; be/src/modules/carriers/adapters/ghn.adapter.ts (converted_weight, lead time), be/src/modules/packing/solver/objective.ts.</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Planned – Thuận, 08/11/2026: add shipping-cost estimation details (volumetric weight, packaging cost, expected delivery time) with acceptance criteria to SRS 3.7.1.</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F09</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Scope</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SRS UC-45–UC-51, UC-42–UC-44, UC-24</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SRS FRs that are not itemised in the registration form: AURELLE customer features (register, cart, checkout, cancel, return request), AURELLE web admin and developer apps, return / exchange processing with inspection and replacement orders, stock receipts by lot (FIFO). The registration mentions only AURELLE as a sync channel and "Track Returns".</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Medium</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Registration v1.1 §3.1 lists AURELLE only under synchronization; SRS 2.2.2 rows UC-24, UC-42–UC-51.</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Kept – these FRs implement the AURELLE channel and return handling accepted in registration v1.1 (Form BM03 #1); no scope change.</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F10</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Scope</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Registration v1.1 actors (Store Owner "View business dashboards", "Analyze operational reports"); SRS §3.1.2 row 6</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The Dashboard Overview required for the Store Owner is only partly implemented: revenue-by-channel, finance and staff widgets show sample data (stated in the SRS).</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Medium</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SRS 3.1.2 row 6; fe/src/pages/DashboardPage.tsx, fe/src/data/dashboard-mock.ts.</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Planned – Thuận, 20/11/2026: add aggregate APIs or remove the sample widgets (Design Brief G2).</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F11</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Requirements</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SRS §4.2.1 Usability</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Usability NFRs have no metric, threshold or measurement method.</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Medium</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SRS 4.2.1: three statements without metric / threshold / method.</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Planned – Thuận, 08/11/2026: add metric, threshold and measurement method to the usability NFRs (SRS 4.2.1).</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F12</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States</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SDD §3.8 Figure 11; docs/diagrams/state/state_diagram.puml; allowed-status-transitions.ts</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The Order Group state machine does not show several transitions allowed in code: awaiting_packaging → partial_needs_review, picked → picking, partial_needs_review → picked, approved_for_packing → picked / picking, shipped → packed, delivered → returned. Composite-state arrows ("Dispatch / Void", "Restocked / Closed" to CANCELED) imply shipped / delivered → canceled, which the code does not allow.</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Medium</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be/src/modules/order-groups/enums/allowed-status-transitions.ts (33 transitions); docs/diagrams/state/state_diagram.puml (16 state-level transitions + composite arrows).</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Planned – Thuận, 08/11/2026: redraw the Order Group state machine with all transitions of allowed-status-transitions.ts (with Design Brief G7).</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F13</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States</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SDD §3 workflow table WF-03</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Packing Plan states in code include rejected, failed and superseded; the SDD lists only computing → ready → approved → packing → packed.</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Medium</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be/src/modules/packing/schemas/packing-plan.schema.ts lines 21–31; SDD WF-03 row.</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Planned – Thuận, 08/11/2026: add rejected, failed and superseded to the Packing Plan states in SDD WF-03 and its state machine (with G7).</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F14</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Flows</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WF-01 … WF-06; be/test</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Each workflow has unit tests on its services, but there is no end-to-end test of any main workflow; be/test contains only app.e2e-spec.ts and auth.e2e-spec.ts. Unit tests use mocked models.</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Medium</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be/test/ listing; e.g. orders.service.tryConsolidate.spec.ts, order-groups.service.pickItem.spec.ts, packing-plan.service.spec.ts, shipments.service.spec.ts, returns.service.spec.ts, warehouse.service.receipt.spec.ts.</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Planned – Thi, 04/12/2026: end-to-end tests for pick → pack → ship → return (Design Brief G4).</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F15</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Architecture</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general_architecture_diagram.puml line 40</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The API ↔ Optimization Worker link is labelled "gRPC / HTTP2", but the back end calls the packer with HTTP POST (axios, JSON).</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Medium</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be/src/modules/packing/solver/cp-sat.ts lines 1, 94 (axios.post); packer/packer/main.py (FastAPI).</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Planned – Thuận, 08/11/2026: change the API ↔ packer link to HTTPS / REST in the architecture diagram (with G8).</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F16</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Design vs code</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SDD §1.2, §4.1–4.10</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The package diagram (Figure 2) and all class and sequence diagrams of the detailed design are placeholders, so the module design cannot be compared with the code beyond the package table and class name lists.</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Medium</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SDD 1.2 "[Insert Figure 2 – Package Diagram]"; SDD 4.x "[Insert figure – …]" (33 placeholders).</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Planned – Thuận, 15/11/2026: package diagram and class / sequence diagrams of SDD section 4, each section drawn by its workflow owner.</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F17</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Design vs code</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SRS UC-31, §3.6.3, §3.8.2, §3.1.3; fe/src/lib/rbac.ts</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Screen authorization is inconsistent: UC-31 / 3.6.3 give Warehouse Staff packing work and 3.8.2 says Warehouse Staff inspects on the "Returns screen", but 3.1.3 and rbac.ts give Warehouse Staff neither /app/packing nor /app/returns (inspection is done in the Returns tab of Warehouse Picking). The back end allows Warehouse Staff on some packing-session and return endpoints.</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Medium</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fe/src/lib/rbac.ts lines 9–19; fe/src/pages/WarehousePage.tsx line 151; be/src/modules/packing/packing-plan.controller.ts lines 539, 657; be/src/modules/shipments/returns.controller.ts lines 98–105, 171–178.</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Planned – Thuận, 08/11/2026: align SRS UC-31, 3.6.3 and 3.8.2 with the screen authorization in 3.1.3 and rbac.ts.</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F18</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Requirements</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SRS §4.2.4 Security</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Security requirements are listed as mechanisms without a measurement method (except lockout and token lifetimes).</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Low</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SRS 4.2.4.</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Planned – Thuận, 08/11/2026: add a measurement method to the security NFRs (SRS 4.2.4).</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F19</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Requirements</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SRS UC-44</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Actor "System" is not one of the defined actors (§2.1 defines "System Scheduler").</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Low</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SRS 2.1 actor list; UC-44 row.</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Planned – Thuận, 08/11/2026: change the actor of UC-44 to System Scheduler / Store Owner / Admin.</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F20</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Requirements</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SRS §3.4.3</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Screen layout of the "Packaging profile" function is still a placeholder.</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Low</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SRS 3.4.3 "[Insert screenshot of the "Packaging profile" screen]".</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Planned – Phượng, 08/11/2026: add the Packaging profile screenshot to SRS 3.4.3.</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F21</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States</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SDD WF-04 row</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Shipment state cancelled (carrier order cancelled before pickup, SRS UC-38) is not listed in the shipment state path.</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Low</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be/src/modules/shipments/enums/shipment-status.enum.ts (CANCELLED = 'cancelled'); SDD WF-04 row.</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Planned – Thuận, 08/11/2026: add the cancelled state to the Shipment path and state machine (with G7).</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F22</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Architecture</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general_architecture_diagram.puml line 47</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The API ↔ AI Services link is labelled "HTTPS / SSE", but the AI call is a single non-streaming chat-completions POST.</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Low</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be/src/modules/packaging/packing-guide-ai.service.ts (axios.post(${baseUrl}/chat/completions), no stream).</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Planned – Thuận, 08/11/2026: change the AI link label to HTTPS / REST (with G8).</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F23</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Data</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SDD §2 collection table</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Collections in code that are neither in the ERD nor named in the SDD table: stock_reservation_totals, packaging_recommendations (legacy), order_sync_settings, packing_settings, shipping_carriers, shipping_settings, carrier_webhook_events.</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Low</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Collection list from be/src//schemas; SDD 2 rows 01–21.</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Planned – Thi, 15/11/2026: list these collections in the ERD and SDD section 2 (with G9).</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F24</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Design vs code</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SDD §1.3 b "Diagrams" row; docs/ERD.md</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The SDD says the ERD is Mermaid in docs/ERD.md, but the ERD used in the reports is PlantUML docs/diagrams/erd/erd.puml; docs/ERD.md states 50 collections while the code has 57.</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Low</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SDD 1.3 b; docs/ERD.md line 3 ("50 collection"); docs/diagrams/erd/erd.puml.</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Planned – Thuận, 08/11/2026: correct the Diagrams row of SDD 1.3 b and update docs/ERD.md to 57 collections.</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F25</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Design vs code</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SRS §4.2.3</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The measurement method cites scripts/solver-benchmark.ts; the file is be/scripts/solver-benchmark.ts.</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Low</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be/scripts/solver-benchmark.ts.</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Planned – Thuận, 08/11/2026: correct the path to be/scripts/solver-benchmark.ts in SRS 4.2.3.</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F26</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Flows</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SDD §3 workflow table</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The "Owner" column of WF-01 … WF-06 is empty.</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Low</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SDD section 3 table.</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Planned – Thuận, 01/11/2026: fill the Owner column of the SDD workflow table (same owners as Design Brief A1).</w:t>
            </w:r>
          </w:p>
        </w:tc>
      </w:tr>
    </w:tbl>
    <w:p>
      <w:pPr>
        <w:pStyle w:val="Heading2"/>
        <w:spacing w:after="100" w:before="240"/>
      </w:pPr>
      <w:r>
        <w:rPr>
          <w:rFonts w:ascii="Calibri" w:cs="Calibri" w:eastAsia="Calibri" w:hAnsi="Calibri"/>
          <w:b/>
          <w:bCs/>
          <w:color w:val="14233A"/>
          <w:sz w:val="24"/>
          <w:szCs w:val="24"/>
        </w:rPr>
        <w:t xml:space="preserve">4. Top 5 Findings (as reported by the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1927"/>
        <w:gridCol w:w="6748"/>
      </w:tblGrid>
      <w:tr>
        <w:trPr>
          <w:tblHeader/>
        </w:trPr>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Finding ID</w:t>
            </w:r>
          </w:p>
        </w:tc>
        <w:tc>
          <w:tcPr>
            <w:tcW w:type="dxa" w:w="674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Summary</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1</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F01</w:t>
            </w:r>
          </w:p>
        </w:tc>
        <w:tc>
          <w:tcPr>
            <w:tcW w:type="dxa" w:w="674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High – Mobile Application is in the registration but has no FR and no code.</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2</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F02</w:t>
            </w:r>
          </w:p>
        </w:tc>
        <w:tc>
          <w:tcPr>
            <w:tcW w:type="dxa" w:w="674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High – Registration requires merging orders across platforms; SRS and code merge only within one shop / platform.</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3</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F04</w:t>
            </w:r>
          </w:p>
        </w:tc>
        <w:tc>
          <w:tcPr>
            <w:tcW w:type="dxa" w:w="674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High – Architecture diagram shows a non-existent mobile app and omits the AURELLE website, Open API simulator, Google OAuth and SMTP.</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4</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F03</w:t>
            </w:r>
          </w:p>
        </w:tc>
        <w:tc>
          <w:tcPr>
            <w:tcW w:type="dxa" w:w="674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High – State machines are missing for Packing Plan, Shipment, Return Request and Order.</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5</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F05</w:t>
            </w:r>
          </w:p>
        </w:tc>
        <w:tc>
          <w:tcPr>
            <w:tcW w:type="dxa" w:w="674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High – Logical ERD misses most main entities of the SRS entity table and models staff roles as separate entities.</w:t>
            </w:r>
          </w:p>
        </w:tc>
      </w:tr>
    </w:tbl>
    <w:p>
      <w:pPr>
        <w:spacing w:before="120" w:after="60"/>
      </w:pPr>
      <w:r>
        <w:rPr>
          <w:rFonts w:ascii="Calibri" w:cs="Calibri" w:eastAsia="Calibri" w:hAnsi="Calibri"/>
          <w:b/>
          <w:sz w:val="19"/>
          <w:szCs w:val="19"/>
        </w:rPr>
        <w:t xml:space="preserve">Checked and consistent (no finding): </w:t>
      </w:r>
      <w:r>
        <w:rPr>
          <w:rFonts w:ascii="Calibri" w:cs="Calibri" w:eastAsia="Calibri" w:hAnsi="Calibri"/>
          <w:sz w:val="19"/>
          <w:szCs w:val="19"/>
        </w:rPr>
        <w:t xml:space="preserve">scheduler intervals in SRS 3.1.4 (order sync every minute, backfill 5 min, express SLA 10 min, product master hourly + 03:00, packing auto-compute 10 s, blocked recheck 1 min, rejection reminder 15 min, shipment SLA 15 min, write-back 15 s, stock push 1 min, returns sync 2 min); write-back retry 8 attempts, back-off 30 s → 30 min; rate limit 600 requests / minute; JWT 24 h / refresh 30 days; lockout 5 attempts / 15 min; weight tolerance 20 %; AURELLE order page refresh 30 s; 57 collections; technology versions in SDD 1.3 b; Lazada adapter is read-only (packOrders exists but is not called); state names of the Order Group diagram match GroupFulfillmentStatus.</w:t>
      </w:r>
    </w:p>
    <w:p>
      <w:pPr>
        <w:spacing w:before="120" w:after="60"/>
      </w:pPr>
      <w:r>
        <w:rPr>
          <w:rFonts w:ascii="Calibri" w:cs="Calibri" w:eastAsia="Calibri" w:hAnsi="Calibri"/>
          <w:b/>
          <w:sz w:val="19"/>
          <w:szCs w:val="19"/>
        </w:rPr>
        <w:t xml:space="preserve">Could not be verified from the repository: </w:t>
      </w:r>
      <w:r>
        <w:rPr>
          <w:rFonts w:ascii="Calibri" w:cs="Calibri" w:eastAsia="Calibri" w:hAnsi="Calibri"/>
          <w:sz w:val="19"/>
          <w:szCs w:val="19"/>
        </w:rPr>
        <w:t xml:space="preserve">run-time thresholds (new Lazada order visible within sync interval + 1 minute, BRKGA p95 ≤ 1 s — only the stored result be/scripts/benchmark-results/solver-v2.json was read, the benchmark was not re-run); behaviour of live external APIs (Lazada, GHN, Google, Groq); whether the automated test suite passes at this tag (not run in this review; CI run #258 for this commit is reported green on GitHub); deployment and rollback on a real cluster (no staging environment); whether UC-16 "Link order groups" works across platforms (not stated in the SRS).</w:t>
      </w:r>
    </w:p>
    <w:p>
      <w:pPr>
        <w:pStyle w:val="Heading2"/>
        <w:spacing w:after="100" w:before="240"/>
      </w:pPr>
      <w:r>
        <w:rPr>
          <w:rFonts w:ascii="Calibri" w:cs="Calibri" w:eastAsia="Calibri" w:hAnsi="Calibri"/>
          <w:b/>
          <w:bCs/>
          <w:color w:val="14233A"/>
          <w:sz w:val="24"/>
          <w:szCs w:val="24"/>
        </w:rPr>
        <w:t xml:space="preserve">5.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1752"/>
        <w:gridCol w:w="1752"/>
        <w:gridCol w:w="1752"/>
        <w:gridCol w:w="1754"/>
      </w:tblGrid>
      <w:tr>
        <w:trPr>
          <w:tblHeader/>
        </w:trPr>
        <w:tc>
          <w:tcPr>
            <w:tcW w:type="dxa" w:w="262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Severity</w:t>
            </w:r>
          </w:p>
        </w:tc>
        <w:tc>
          <w:tcPr>
            <w:tcW w:type="dxa" w:w="175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Total</w:t>
            </w:r>
          </w:p>
        </w:tc>
        <w:tc>
          <w:tcPr>
            <w:tcW w:type="dxa" w:w="175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Fixed</w:t>
            </w:r>
          </w:p>
        </w:tc>
        <w:tc>
          <w:tcPr>
            <w:tcW w:type="dxa" w:w="175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Kept</w:t>
            </w:r>
          </w:p>
        </w:tc>
        <w:tc>
          <w:tcPr>
            <w:tcW w:type="dxa" w:w="175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Planned</w:t>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High</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5</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0</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1</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4</w:t>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Medium</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12</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0</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2</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10</w:t>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Low</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9</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0</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0</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9</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SWP490 · BM02 Self-Review Report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BM02 Self-Review Report</dc:title>
  <dc:creator>SWP490</dc:creator>
  <cp:lastModifiedBy>Un-named</cp:lastModifiedBy>
  <cp:revision>1</cp:revision>
  <dcterms:created xsi:type="dcterms:W3CDTF">2026-10-20T02:46:32.122Z</dcterms:created>
  <dcterms:modified xsi:type="dcterms:W3CDTF">2026-10-20T02:46:32.122Z</dcterms:modified>
</cp:coreProperties>
</file>

<file path=docProps/custom.xml><?xml version="1.0" encoding="utf-8"?>
<Properties xmlns="http://schemas.openxmlformats.org/officeDocument/2006/custom-properties" xmlns:vt="http://schemas.openxmlformats.org/officeDocument/2006/docPropsVTypes"/>
</file>