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ptos Narrow" w:cs="Aptos Narrow" w:eastAsia="Aptos Narrow" w:hAnsi="Aptos Narrow"/>
          <w:b/>
          <w:bCs/>
          <w:color w:val="2E5395"/>
          <w:sz w:val="32"/>
          <w:szCs w:val="32"/>
        </w:rPr>
        <w:t xml:space="preserve">Milestone 6 — Evaluation Criteria</w:t>
      </w:r>
    </w:p>
    <w:p>
      <w:pPr>
        <w:spacing w:after="40"/>
      </w:pPr>
      <w:r>
        <w:rPr>
          <w:rFonts w:ascii="Aptos Narrow" w:cs="Aptos Narrow" w:eastAsia="Aptos Narrow" w:hAnsi="Aptos Narrow"/>
          <w:i/>
          <w:iCs/>
          <w:color w:val="555555"/>
          <w:sz w:val="20"/>
          <w:szCs w:val="20"/>
        </w:rPr>
        <w:t xml:space="preserve">Deployment, Responsible AI &amp; Full-System Production Review — Trainer Reference</w:t>
      </w:r>
    </w:p>
    <w:p>
      <w:pPr>
        <w:pBdr>
          <w:bottom w:val="single" w:color="999999" w:sz="6" w:space="1"/>
        </w:pBdr>
        <w:spacing w:after="200" w:before="200"/>
      </w:pPr>
      <w:r>
        <w:t xml:space="preserve"/>
      </w:r>
    </w:p>
    <w:p>
      <w:pPr>
        <w:spacing w:after="120"/>
      </w:pPr>
      <w:r>
        <w:rPr>
          <w:rFonts w:ascii="Aptos Narrow" w:cs="Aptos Narrow" w:eastAsia="Aptos Narrow" w:hAnsi="Aptos Narrow"/>
          <w:b/>
          <w:bCs/>
          <w:i w:val="false"/>
          <w:iCs w:val="false"/>
          <w:sz w:val="22"/>
          <w:szCs w:val="22"/>
        </w:rPr>
        <w:t xml:space="preserve">Total: 100 marks (10 categories × 10 marks). Individual submission and individual live review — the syllabus's "team" panel-review language is run per-student for this cohort, matching how M3, M4, and M5 were all graded.</w:t>
      </w:r>
    </w:p>
    <w:p>
      <w:pPr>
        <w:pStyle w:val="Heading1"/>
        <w:spacing w:after="120" w:before="240"/>
      </w:pPr>
      <w:r>
        <w:t xml:space="preserve">Notes for Reviewers</w:t>
      </w:r>
    </w:p>
    <w:p>
      <w:pPr>
        <w:pStyle w:val="ListParagraph"/>
        <w:numPr>
          <w:ilvl w:val="0"/>
          <w:numId w:val="2"/>
        </w:numPr>
        <w:spacing w:after="60"/>
      </w:pPr>
      <w:r>
        <w:rPr>
          <w:rFonts w:ascii="Aptos Narrow" w:cs="Aptos Narrow" w:eastAsia="Aptos Narrow" w:hAnsi="Aptos Narrow"/>
          <w:b w:val="false"/>
          <w:bCs w:val="false"/>
          <w:sz w:val="22"/>
          <w:szCs w:val="22"/>
        </w:rPr>
        <w:t xml:space="preserve">Review methodology mirrors M3/M5: static code + evidence review for Categories 1-9, live 1-on-1 review for Category 10 — see the spec's "What to Submit" section for the exact evidence list. A submission missing an evidence item cannot be scored on the category that depends on it, no matter how good the underlying code is.</w:t>
      </w:r>
    </w:p>
    <w:p>
      <w:pPr>
        <w:pStyle w:val="ListParagraph"/>
        <w:numPr>
          <w:ilvl w:val="0"/>
          <w:numId w:val="2"/>
        </w:numPr>
        <w:spacing w:after="60"/>
      </w:pPr>
      <w:r>
        <w:rPr>
          <w:rFonts w:ascii="Aptos Narrow" w:cs="Aptos Narrow" w:eastAsia="Aptos Narrow" w:hAnsi="Aptos Narrow"/>
          <w:b w:val="false"/>
          <w:bCs w:val="false"/>
          <w:sz w:val="22"/>
          <w:szCs w:val="22"/>
        </w:rPr>
        <w:t xml:space="preserve">This is an integration and hardening milestone. A submission that introduces new agents/tools/business logic instead of hardening the existing M3/M4/M5 system should be scored down under Category 1 regardless of how polished the new work is.</w:t>
      </w:r>
    </w:p>
    <w:p>
      <w:pPr>
        <w:pStyle w:val="ListParagraph"/>
        <w:numPr>
          <w:ilvl w:val="0"/>
          <w:numId w:val="2"/>
        </w:numPr>
        <w:spacing w:after="60"/>
      </w:pPr>
      <w:r>
        <w:rPr>
          <w:rFonts w:ascii="Aptos Narrow" w:cs="Aptos Narrow" w:eastAsia="Aptos Narrow" w:hAnsi="Aptos Narrow"/>
          <w:b w:val="false"/>
          <w:bCs w:val="false"/>
          <w:sz w:val="22"/>
          <w:szCs w:val="22"/>
        </w:rPr>
        <w:t xml:space="preserve">A student who discloses a shortcut or gap (e.g., "I containerized my existing FAISS store instead of migrating to Qdrant — ran out of time after Wednesday's intro") and explains why should not be penalized as heavily as one who hides it. This is the same standard M5 used for the FastAPI/pipeline disclosure case — apply it consistently.</w:t>
      </w:r>
    </w:p>
    <w:p>
      <w:pPr>
        <w:pStyle w:val="ListParagraph"/>
        <w:numPr>
          <w:ilvl w:val="0"/>
          <w:numId w:val="2"/>
        </w:numPr>
        <w:spacing w:after="60"/>
      </w:pPr>
      <w:r>
        <w:rPr>
          <w:rFonts w:ascii="Aptos Narrow" w:cs="Aptos Narrow" w:eastAsia="Aptos Narrow" w:hAnsi="Aptos Narrow"/>
          <w:b w:val="false"/>
          <w:bCs w:val="false"/>
          <w:sz w:val="22"/>
          <w:szCs w:val="22"/>
        </w:rPr>
        <w:t xml:space="preserve">Qdrant specifically: the official syllabus names it, but this cohort was only introduced to it on Wednesday 12 Aug, two days before the deadline. Full marks on Category 2 are available with any correctly-containerized, disclosed vector/retrieval store — Qdrant is not a hard requirement for this cohort.</w:t>
      </w:r>
    </w:p>
    <w:p>
      <w:pPr>
        <w:pStyle w:val="ListParagraph"/>
        <w:numPr>
          <w:ilvl w:val="0"/>
          <w:numId w:val="2"/>
        </w:numPr>
        <w:spacing w:after="60"/>
      </w:pPr>
      <w:r>
        <w:rPr>
          <w:rFonts w:ascii="Aptos Narrow" w:cs="Aptos Narrow" w:eastAsia="Aptos Narrow" w:hAnsi="Aptos Narrow"/>
          <w:b w:val="false"/>
          <w:bCs w:val="false"/>
          <w:sz w:val="22"/>
          <w:szCs w:val="22"/>
        </w:rPr>
        <w:t xml:space="preserve">For Category 5 (Load Testing): a real 500-user run that shows failures because the student's OpenAI key hit its own rate limit is a pass, not a fail, provided the student correctly identifies and documents why. Penalize a number that looks suspiciously perfect under real concurrent LLM load more than an honest failure rate.</w:t>
      </w:r>
    </w:p>
    <w:p>
      <w:pPr>
        <w:pStyle w:val="ListParagraph"/>
        <w:numPr>
          <w:ilvl w:val="0"/>
          <w:numId w:val="2"/>
        </w:numPr>
        <w:spacing w:after="60"/>
      </w:pPr>
      <w:r>
        <w:rPr>
          <w:rFonts w:ascii="Aptos Narrow" w:cs="Aptos Narrow" w:eastAsia="Aptos Narrow" w:hAnsi="Aptos Narrow"/>
          <w:b w:val="false"/>
          <w:bCs w:val="false"/>
          <w:sz w:val="22"/>
          <w:szCs w:val="22"/>
        </w:rPr>
        <w:t xml:space="preserve">For Category 3 (Cloud Deployment): given the GCP sandbox's 9am/9pm daily deletion, expect most students to redeploy at the start of their own review slot. A quick, successful redeploy from a documented command is the intended behavior, not a red flag — the red flag is a broken or undocumented deploy process, not the act of redeploying.</w:t>
      </w:r>
    </w:p>
    <w:p>
      <w:pPr>
        <w:pStyle w:val="ListParagraph"/>
        <w:numPr>
          <w:ilvl w:val="0"/>
          <w:numId w:val="2"/>
        </w:numPr>
        <w:spacing w:after="60"/>
      </w:pPr>
      <w:r>
        <w:rPr>
          <w:rFonts w:ascii="Aptos Narrow" w:cs="Aptos Narrow" w:eastAsia="Aptos Narrow" w:hAnsi="Aptos Narrow"/>
          <w:b w:val="false"/>
          <w:bCs w:val="false"/>
          <w:sz w:val="22"/>
          <w:szCs w:val="22"/>
        </w:rPr>
        <w:t xml:space="preserve">Pass bar for Categories 6-8 (Responsible AI / Model Card+NIST / Red-Team) mirrors the M5 precedent for Category 6 (Evaluation Suite): a genuine, complete run against the shared artifacts with real interpretation counts, even if a student's write-up is shorter or plainer than another's — depth of correct interpretation matters more than length.</w:t>
      </w:r>
    </w:p>
    <w:p>
      <w:pPr>
        <w:pStyle w:val="ListParagraph"/>
        <w:numPr>
          <w:ilvl w:val="0"/>
          <w:numId w:val="2"/>
        </w:numPr>
        <w:spacing w:after="60"/>
      </w:pPr>
      <w:r>
        <w:rPr>
          <w:rFonts w:ascii="Aptos Narrow" w:cs="Aptos Narrow" w:eastAsia="Aptos Narrow" w:hAnsi="Aptos Narrow"/>
          <w:b w:val="false"/>
          <w:bCs w:val="false"/>
          <w:sz w:val="22"/>
          <w:szCs w:val="22"/>
        </w:rPr>
        <w:t xml:space="preserve">Two standing infrastructure constraints shape Categories 3, 5, and 10, and are not optional design choices a student can be marked down for following: each student's GCP sandbox has roughly $10 total credit for the rest of the program, and the corporate network firewall blocks any laptop browser from reaching a VM-hosted site, Docker-hosted site, or (unconfirmed either way) a Cloud Run URL — only traffic run from inside the VM's own SSH session is unaffected. A student who (a) load-tests against their own VM's Compose stack rather than Cloud Run, and (b) demonstrates everything live from their own VM session rather than a URL opened on someone else's device, is following the correct, intended design — not cutting a corner.</w:t>
      </w:r>
    </w:p>
    <w:p>
      <w:pPr>
        <w:pStyle w:val="Heading1"/>
        <w:spacing w:after="120" w:before="240"/>
      </w:pPr>
      <w:r>
        <w:t xml:space="preserve">Evaluation Criteria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5300"/>
        <w:gridCol w:w="1300"/>
      </w:tblGrid>
      <w:tr>
        <w:trPr>
          <w:tblHeader/>
        </w:trPr>
        <w:tc>
          <w:tcPr>
            <w:tcW w:type="dxa" w:w="3300"/>
            <w:shd w:fill="2E5395" w:color="auto" w:val="clear"/>
            <w:tcMar>
              <w:top w:type="dxa" w:w="80"/>
              <w:left w:type="dxa" w:w="100"/>
              <w:bottom w:type="dxa" w:w="80"/>
              <w:right w:type="dxa" w:w="100"/>
            </w:tcMar>
          </w:tcPr>
          <w:p>
            <w:r>
              <w:rPr>
                <w:rFonts w:ascii="Aptos Narrow" w:cs="Aptos Narrow" w:eastAsia="Aptos Narrow" w:hAnsi="Aptos Narrow"/>
                <w:b/>
                <w:bCs/>
                <w:color w:val="FFFFFF"/>
                <w:sz w:val="20"/>
                <w:szCs w:val="20"/>
              </w:rPr>
              <w:t xml:space="preserve">Evaluation Criteria</w:t>
            </w:r>
          </w:p>
        </w:tc>
        <w:tc>
          <w:tcPr>
            <w:tcW w:type="dxa" w:w="5300"/>
            <w:shd w:fill="2E5395" w:color="auto" w:val="clear"/>
            <w:tcMar>
              <w:top w:type="dxa" w:w="80"/>
              <w:left w:type="dxa" w:w="100"/>
              <w:bottom w:type="dxa" w:w="80"/>
              <w:right w:type="dxa" w:w="100"/>
            </w:tcMar>
          </w:tcPr>
          <w:p>
            <w:r>
              <w:rPr>
                <w:rFonts w:ascii="Aptos Narrow" w:cs="Aptos Narrow" w:eastAsia="Aptos Narrow" w:hAnsi="Aptos Narrow"/>
                <w:b/>
                <w:bCs/>
                <w:color w:val="FFFFFF"/>
                <w:sz w:val="20"/>
                <w:szCs w:val="20"/>
              </w:rPr>
              <w:t xml:space="preserve">Description</w:t>
            </w:r>
          </w:p>
        </w:tc>
        <w:tc>
          <w:tcPr>
            <w:tcW w:type="dxa" w:w="1300"/>
            <w:shd w:fill="2E5395" w:color="auto" w:val="clear"/>
            <w:tcMar>
              <w:top w:type="dxa" w:w="80"/>
              <w:left w:type="dxa" w:w="100"/>
              <w:bottom w:type="dxa" w:w="80"/>
              <w:right w:type="dxa" w:w="100"/>
            </w:tcMar>
          </w:tcPr>
          <w:p>
            <w:r>
              <w:rPr>
                <w:rFonts w:ascii="Aptos Narrow" w:cs="Aptos Narrow" w:eastAsia="Aptos Narrow" w:hAnsi="Aptos Narrow"/>
                <w:b/>
                <w:bCs/>
                <w:color w:val="FFFFFF"/>
                <w:sz w:val="20"/>
                <w:szCs w:val="20"/>
              </w:rPr>
              <w:t xml:space="preserve">Marks</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 Architecture &amp; Continuity (No New Development)</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One-page architecture note showing M6 as a thin production layer over the existing M3/M4/M5 core; no new agents/tools/business logic; every new file traceable to a containerization, deployment, security, load, or governance need.</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2. Docker Compose Containerization</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Full stack (backend + UI + vector/retrieval store) brought up correctly with one docker-compose.yml; services communicate by name; secrets via .env, none hardcoded. Non-Qdrant retrieval store accepted in full if disclosed in README.</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3. Cloud Deployment (Cloud Run)</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FastAPI backend deployed with a real URL, verified via curl from the VM/Cloud Shell (not a laptop browser — blocked by the corporate firewall); deploy command documented and repeatable; redeployed fresh for the live review. A light-touch, cost-bounded deployment is the expectation, not sustained traffic on Cloud Run.</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4. API Security — JWT + API Key + Prompt Injection</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JWT required and correctly wired to protected routes (not decorative); existing API-key check still enforced alongside it; prompt-injection guardrail demonstrably active against the red-team set.</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5. Load Testing (Locust)</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Real 500-user run completed against the student's VM-hosted Compose stack (not Cloud Run — see spec), CSV saved, real P95 reported. Rate-limit-induced failures on a real-LLM-backed system, correctly diagnosed and documented, are NOT penalized — a fabricated or suspiciously clean number under real load IS.</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6. Responsible AI — Bias Audit (AIF360)</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Audit run against the shared dataset using the class methodology; results correctly interpreted (not just printed) with a real judgment on what the numbers mean.</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7. Model Card &amp; NIST AI RMF Mapping</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Model Card complete, using the student's own red-team/Locust/bias-audit evidence in Sections 4-5, not placeholder text. NIST worksheet's 4 functions each carry a real, own-evidence answer beyond the given example.</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8. Red-Team Testing</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All 50 shared prompts run against the student's own deployed system; results saved; a real safe-vs-concerning verdict with at least one specific example of each. Bonus prompts on top of the 50 are welcome, not required.</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9. Documentation &amp; Production Readiness</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README clearly explains what M6 added and how to run/redeploy everything; production readiness checklist honestly completed; no crashes on a clean redeploy from the README alone.</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r>
        <w:trPr>
          <w:cantSplit/>
        </w:trPr>
        <w:tc>
          <w:tcPr>
            <w:tcW w:type="dxa" w:w="3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 Live Demonstration / Panel Review</w:t>
            </w:r>
          </w:p>
        </w:tc>
        <w:tc>
          <w:tcPr>
            <w:tcW w:type="dxa" w:w="5300"/>
            <w:tcMar>
              <w:top w:type="dxa" w:w="80"/>
              <w:left w:type="dxa" w:w="100"/>
              <w:bottom w:type="dxa" w:w="80"/>
              <w:right w:type="dxa" w:w="100"/>
            </w:tcMar>
          </w:tcPr>
          <w:p>
            <w:r>
              <w:rPr>
                <w:rFonts w:ascii="Aptos Narrow" w:cs="Aptos Narrow" w:eastAsia="Aptos Narrow" w:hAnsi="Aptos Narrow"/>
                <w:b w:val="false"/>
                <w:bCs w:val="false"/>
                <w:sz w:val="20"/>
                <w:szCs w:val="20"/>
              </w:rPr>
              <w:t xml:space="preserve">Individual live review, Friday 14 Aug, run on the student's own screen/VM SSH session (not the panel's device — corporate firewall blocks that): real query through the deployed system, Locust numbers walked through, Responsible AI findings and architecture decisions defended before the panel.</w:t>
            </w:r>
          </w:p>
        </w:tc>
        <w:tc>
          <w:tcPr>
            <w:tcW w:type="dxa" w:w="1300"/>
            <w:tcMar>
              <w:top w:type="dxa" w:w="80"/>
              <w:left w:type="dxa" w:w="100"/>
              <w:bottom w:type="dxa" w:w="80"/>
              <w:right w:type="dxa" w:w="100"/>
            </w:tcMar>
          </w:tcPr>
          <w:p>
            <w:r>
              <w:rPr>
                <w:rFonts w:ascii="Aptos Narrow" w:cs="Aptos Narrow" w:eastAsia="Aptos Narrow" w:hAnsi="Aptos Narrow"/>
                <w:b w:val="false"/>
                <w:bCs w:val="false"/>
                <w:sz w:val="20"/>
                <w:szCs w:val="20"/>
              </w:rPr>
              <w:t xml:space="preserve">10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Narrow" w:cs="Aptos Narrow" w:eastAsia="Aptos Narrow" w:hAnsi="Aptos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Narrow" w:cs="Aptos Narrow" w:eastAsia="Aptos Narrow" w:hAnsi="Aptos Narrow"/>
      <w:b/>
      <w:bCs/>
      <w:color w:val="2E5395"/>
      <w:sz w:val="28"/>
      <w:szCs w:val="28"/>
    </w:rPr>
  </w:style>
  <w:style w:type="paragraph" w:styleId="Heading2">
    <w:name w:val="Heading 2"/>
    <w:basedOn w:val="Normal"/>
    <w:next w:val="Normal"/>
    <w:qFormat/>
    <w:rPr>
      <w:rFonts w:ascii="Aptos Narrow" w:cs="Aptos Narrow" w:eastAsia="Aptos Narrow" w:hAnsi="Aptos Narrow"/>
      <w:b/>
      <w:bCs/>
      <w:color w:val="2E5395"/>
      <w:sz w:val="24"/>
      <w:szCs w:val="24"/>
    </w:rPr>
  </w:style>
  <w:style w:type="paragraph" w:styleId="Heading3">
    <w:name w:val="Heading 3"/>
    <w:basedOn w:val="Normal"/>
    <w:next w:val="Normal"/>
    <w:qFormat/>
    <w:rPr>
      <w:rFonts w:ascii="Aptos Narrow" w:cs="Aptos Narrow" w:eastAsia="Aptos Narrow" w:hAnsi="Aptos Narrow"/>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2026-08-10T16:35:27.864Z</dcterms:created>
  <dcterms:modified xsi:type="dcterms:W3CDTF">2026-08-10T16:35:27.864Z</dcterms:modified>
</cp:coreProperties>
</file>

<file path=docProps/custom.xml><?xml version="1.0" encoding="utf-8"?>
<Properties xmlns="http://schemas.openxmlformats.org/officeDocument/2006/custom-properties" xmlns:vt="http://schemas.openxmlformats.org/officeDocument/2006/docPropsVTypes"/>
</file>