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olution-overview"/>
    <w:p>
      <w:pPr>
        <w:pStyle w:val="Heading1"/>
      </w:pPr>
      <w:r>
        <w:t xml:space="preserve">Solution overview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 (groups): 2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 (definitions): 16 (total detected)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(no screens detected)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 44): 44 total, broken down by type:</w:t>
      </w:r>
    </w:p>
    <w:p>
      <w:pPr>
        <w:pStyle w:val="Compact"/>
        <w:numPr>
          <w:ilvl w:val="1"/>
          <w:numId w:val="1002"/>
        </w:numPr>
      </w:pPr>
      <w:r>
        <w:t xml:space="preserve">workflow_to_connector: 18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workflow_to_env: 26 (remaining relationships)</w:t>
      </w:r>
    </w:p>
    <w:bookmarkEnd w:id="9"/>
    <w:bookmarkStart w:id="10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3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shared_office365groups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shared_office365users</w:t>
      </w:r>
      <w:r>
        <w:br/>
      </w:r>
      <w:r>
        <w:t xml:space="preserve">(Detected in workflow definitions)</w:t>
      </w:r>
    </w:p>
    <w:bookmarkEnd w:id="10"/>
    <w:bookmarkStart w:id="11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4"/>
        </w:numPr>
      </w:pPr>
      <w:r>
        <w:t xml:space="preserve">EndFormFlow-82921763-2342-F011-8779-000D3A0CEB69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EndFormFlowReminder-128F82AA-B942-F011-877A-000D3A0CEB69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IdentifierReminderFlow-D4AE74B0-DA42-F011-877A-000D3A0CEB69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PeopleListFlow-3CE0853C-4C36-F011-8C4C-6045BD0ACADB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PMflow-A3194D5E-D434-F011-8C4C-6045BD0ACADB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PMFormReminderFlow-B025C04D-D342-F011-877A-000D3A0CEB69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ReplybraryDailyPipedrivecheck-5898F434-A147-F011-8779-000D3A0CEB69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Replybrary_GetExchangeRate-4E437A2B-C74D-F011-877B-000D3A0CEB69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Replybrary_Identifier_Flow-38CA161E-BA34-F011-8C4C-6045BD0ACADB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UploadLogo-F9309D25-C742-F011-877A-000D3A0CEB69</w:t>
      </w:r>
      <w:r>
        <w:br/>
      </w:r>
      <w:r>
        <w:t xml:space="preserve">(From workflows.json)</w:t>
      </w:r>
    </w:p>
    <w:bookmarkEnd w:id="11"/>
    <w:bookmarkStart w:id="12" w:name="X455f34e321abbaa6004581e91fa2deb02a836bd"/>
    <w:p>
      <w:pPr>
        <w:pStyle w:val="Heading2"/>
      </w:pPr>
      <w:r>
        <w:t xml:space="preserve">Environment variable names (detected in uploaded chunks)</w:t>
      </w:r>
    </w:p>
    <w:p>
      <w:pPr>
        <w:pStyle w:val="Compact"/>
        <w:numPr>
          <w:ilvl w:val="0"/>
          <w:numId w:val="1005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wmreply_Replybrary_SP_Site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wmreply_Replybrary_Client_List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wmreply_Replybrary_Currency_List</w:t>
      </w:r>
      <w:r>
        <w:br/>
      </w:r>
      <w:r>
        <w:t xml:space="preserve">(Env vars referenced by flows / relationships; full count of definitions = 16)</w:t>
      </w:r>
    </w:p>
    <w:bookmarkEnd w:id="12"/>
    <w:bookmarkStart w:id="13" w:name="screens-per-canvas-app"/>
    <w:p>
      <w:pPr>
        <w:pStyle w:val="Heading2"/>
      </w:pPr>
      <w:r>
        <w:t xml:space="preserve">Screens per canvas app</w:t>
      </w:r>
    </w:p>
    <w:p>
      <w:pPr>
        <w:pStyle w:val="Compact"/>
        <w:numPr>
          <w:ilvl w:val="0"/>
          <w:numId w:val="1006"/>
        </w:numPr>
      </w:pPr>
      <w:r>
        <w:t xml:space="preserve">wmreply_replybraryv2_c933c — no screens detected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wmreply_replybrary_b320d — no screens detected</w:t>
      </w:r>
    </w:p>
    <w:p>
      <w:pPr>
        <w:pStyle w:val="FirstParagraph"/>
      </w:pPr>
      <w:r>
        <w:t xml:space="preserve">Notes: counts and totals are taken from the extracted overview and detailed workflow/canvas/app files (overview.json, workflows.json and workflows_detailed.json, canvasapps_detailed.json, relationships.json) in the uploaded chunks.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2026-02-24T08:47:13Z</dcterms:created>
  <dcterms:modified xsi:type="dcterms:W3CDTF">2026-02-24T08:47:13Z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