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solution-overview"/>
    <w:p>
      <w:pPr>
        <w:pStyle w:val="Heading1"/>
      </w:pPr>
      <w:r>
        <w:t xml:space="preserve">Solution overview</w:t>
      </w:r>
    </w:p>
    <w:bookmarkStart w:id="9" w:name="key-counts-from-overview.json"/>
    <w:p>
      <w:pPr>
        <w:pStyle w:val="Heading2"/>
      </w:pPr>
      <w:r>
        <w:t xml:space="preserve">Key counts (from overview.json)</w:t>
      </w:r>
    </w:p>
    <w:p>
      <w:pPr>
        <w:pStyle w:val="Compact"/>
        <w:numPr>
          <w:ilvl w:val="0"/>
          <w:numId w:val="1001"/>
        </w:numPr>
      </w:pPr>
      <w:r>
        <w:t xml:space="preserve">Workflows: 10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Environment variables: 16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Canvas app groups: 2</w:t>
      </w:r>
    </w:p>
    <w:bookmarkEnd w:id="9"/>
    <w:bookmarkStart w:id="10" w:name="workflows-10-source-workflows.json"/>
    <w:p>
      <w:pPr>
        <w:pStyle w:val="Heading2"/>
      </w:pPr>
      <w:r>
        <w:t xml:space="preserve">Workflows (10) — source: workflows.json</w:t>
      </w:r>
    </w:p>
    <w:p>
      <w:pPr>
        <w:pStyle w:val="Compact"/>
        <w:numPr>
          <w:ilvl w:val="0"/>
          <w:numId w:val="1002"/>
        </w:numPr>
      </w:pPr>
      <w:r>
        <w:t xml:space="preserve">EndFormFlow-82921763-2342-F011-8779-000D3A0CEB69.json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EndFormFlowReminder-128F82AA-B942-F011-877A-000D3A0CEB69.json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IdentifierReminderFlow-D4AE74B0-DA42-F011-877A-000D3A0CEB69.json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PeopleListFlow-3CE0853C-4C36-F011-8C4C-6045BD0ACADB.json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PMflow-A3194D5E-D434-F011-8C4C-6045BD0ACADB.json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PMFormReminderFlow-B025C04D-D342-F011-877A-000D3A0CEB69.json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ReplybraryDailyPipedrivecheck-5898F434-A147-F011-8779-000D3A0CEB69.json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Replybrary_GetExchangeRate-4E437A2B-C74D-F011-877B-000D3A0CEB69.json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Replybrary_Identifier_Flow-38CA161E-BA34-F011-8C4C-6045BD0ACADB.json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UploadLogo-F9309D25-C742-F011-877A-000D3A0CEB69.json</w:t>
      </w:r>
    </w:p>
    <w:bookmarkEnd w:id="10"/>
    <w:bookmarkStart w:id="11" w:name="X943754e4eb1399ed92e9ee5e9c17d8dd48a11b2"/>
    <w:p>
      <w:pPr>
        <w:pStyle w:val="Heading2"/>
      </w:pPr>
      <w:r>
        <w:t xml:space="preserve">Environment variables (16) — source: envvars.json</w:t>
      </w:r>
    </w:p>
    <w:p>
      <w:pPr>
        <w:pStyle w:val="Compact"/>
        <w:numPr>
          <w:ilvl w:val="0"/>
          <w:numId w:val="1003"/>
        </w:numPr>
      </w:pPr>
      <w:r>
        <w:t xml:space="preserve">wmreply_Replybrary_Admin_List/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wmreply_Replybrary_App_Link/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wmreply_Replybrary_CertificationsTracker_List/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wmreply_Replybrary_ClientContacts_List/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wmreply_Replybrary_Client_List/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wmreply_Replybrary_Currency_List/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wmreply_Replybrary_LessonsLearnt_List/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wmreply_Replybrary_Links_List/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wmreply_Replybrary_M365GroupID/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wmreply_Replybrary_People_List/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wmreply_Replybrary_ProjectHistory_List/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wmreply_Replybrary_Project_List/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wmreply_Replybrary_ReusableIdeas_List/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wmreply_Replybrary_SkillLevels_List/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wmreply_Replybrary_SMEs_List/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wmreply_Replybrary_SP_Site/</w:t>
      </w:r>
    </w:p>
    <w:bookmarkEnd w:id="11"/>
    <w:bookmarkStart w:id="12" w:name="X3b69630ca04a98352a2bd2fac4b913e69779551"/>
    <w:p>
      <w:pPr>
        <w:pStyle w:val="Heading2"/>
      </w:pPr>
      <w:r>
        <w:t xml:space="preserve">Canvas app groups (2) — source: canvasapps.json</w:t>
      </w:r>
    </w:p>
    <w:p>
      <w:pPr>
        <w:pStyle w:val="Compact"/>
        <w:numPr>
          <w:ilvl w:val="0"/>
          <w:numId w:val="1004"/>
        </w:numPr>
      </w:pPr>
      <w:r>
        <w:t xml:space="preserve">wmreply_replybraryv2_c933c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wmreply_replybrary_b320d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2026-02-10T22:56:19Z</dcterms:created>
  <dcterms:modified xsi:type="dcterms:W3CDTF">2026-02-10T22:56:19Z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