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olution-overview"/>
    <w:p>
      <w:pPr>
        <w:pStyle w:val="Heading1"/>
      </w:pPr>
      <w:r>
        <w:t xml:space="preserve">Solution overview</w:t>
      </w:r>
    </w:p>
    <w:bookmarkStart w:id="9" w:name="counts"/>
    <w:p>
      <w:pPr>
        <w:pStyle w:val="Heading2"/>
      </w:pPr>
      <w:r>
        <w:t xml:space="preserve">Counts</w:t>
      </w:r>
    </w:p>
    <w:p>
      <w:pPr>
        <w:pStyle w:val="Compact"/>
        <w:numPr>
          <w:ilvl w:val="0"/>
          <w:numId w:val="1001"/>
        </w:numPr>
      </w:pPr>
      <w:r>
        <w:t xml:space="preserve">Canvas apps: 2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Screens: 0 (no screens found in the canvas apps)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Relationship edges (total): 44</w:t>
      </w:r>
    </w:p>
    <w:p>
      <w:pPr>
        <w:pStyle w:val="Compact"/>
        <w:numPr>
          <w:ilvl w:val="1"/>
          <w:numId w:val="1002"/>
        </w:numPr>
      </w:pPr>
      <w:r>
        <w:t xml:space="preserve">workflow_to_connector: 18 (workflow connector edges)</w:t>
      </w:r>
      <w:r>
        <w:br/>
      </w:r>
    </w:p>
    <w:p>
      <w:pPr>
        <w:pStyle w:val="Compact"/>
        <w:numPr>
          <w:ilvl w:val="1"/>
          <w:numId w:val="1002"/>
        </w:numPr>
      </w:pPr>
      <w:r>
        <w:t xml:space="preserve">workflow_to_env: 26 (remaining relationships → workflows to env vars; 44 total − 18 connector edges = 26)</w:t>
      </w:r>
    </w:p>
    <w:bookmarkEnd w:id="9"/>
    <w:bookmarkStart w:id="10" w:name="connectors-used-unique"/>
    <w:p>
      <w:pPr>
        <w:pStyle w:val="Heading2"/>
      </w:pPr>
      <w:r>
        <w:t xml:space="preserve">Connectors used (unique)</w:t>
      </w:r>
    </w:p>
    <w:p>
      <w:pPr>
        <w:pStyle w:val="Compact"/>
        <w:numPr>
          <w:ilvl w:val="0"/>
          <w:numId w:val="1003"/>
        </w:numPr>
      </w:pPr>
      <w:r>
        <w:t xml:space="preserve">shared_sharepointonline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shared_teams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shared_office365groups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shared_office365users</w:t>
      </w:r>
      <w:r>
        <w:br/>
      </w:r>
      <w:r>
        <w:t xml:space="preserve">(Identified across workflows)</w:t>
      </w:r>
    </w:p>
    <w:bookmarkEnd w:id="10"/>
    <w:bookmarkStart w:id="11" w:name="workflows-list"/>
    <w:p>
      <w:pPr>
        <w:pStyle w:val="Heading2"/>
      </w:pPr>
      <w:r>
        <w:t xml:space="preserve">Workflows (list)</w:t>
      </w:r>
    </w:p>
    <w:p>
      <w:pPr>
        <w:pStyle w:val="Compact"/>
        <w:numPr>
          <w:ilvl w:val="0"/>
          <w:numId w:val="1004"/>
        </w:numPr>
      </w:pPr>
      <w:r>
        <w:t xml:space="preserve">EndFormFlow-82921763-2342-F011-8779-000D3A0CEB69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EndFormFlowReminder-128F82AA-B942-F011-877A-000D3A0CEB69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IdentifierReminderFlow-D4AE74B0-DA42-F011-877A-000D3A0CEB69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PeopleListFlow-3CE0853C-4C36-F011-8C4C-6045BD0ACADB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PMflow-A3194D5E-D434-F011-8C4C-6045BD0ACADB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PMFormReminderFlow-B025C04D-D342-F011-877A-000D3A0CEB69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ReplybraryDailyPipedrivecheck-5898F434-A147-F011-8779-000D3A0CEB69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Replybrary_GetExchangeRate-4E437A2B-C74D-F011-877B-000D3A0CEB69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Replybrary_Identifier_Flow-38CA161E-BA34-F011-8C4C-6045BD0ACADB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UploadLogo-F9309D25-C742-F011-877A-000D3A0CEB69</w:t>
      </w:r>
      <w:r>
        <w:br/>
      </w:r>
      <w:r>
        <w:t xml:space="preserve">(From workflows details)</w:t>
      </w:r>
    </w:p>
    <w:bookmarkEnd w:id="11"/>
    <w:bookmarkStart w:id="12" w:name="environment-variable-names"/>
    <w:p>
      <w:pPr>
        <w:pStyle w:val="Heading2"/>
      </w:pPr>
      <w:r>
        <w:t xml:space="preserve">Environment variable names</w:t>
      </w:r>
    </w:p>
    <w:p>
      <w:pPr>
        <w:pStyle w:val="Compact"/>
        <w:numPr>
          <w:ilvl w:val="0"/>
          <w:numId w:val="1005"/>
        </w:numPr>
      </w:pPr>
      <w:r>
        <w:t xml:space="preserve">wmreply_Replybrary_Admin_List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wmreply_Replybrary_App_Link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wmreply_Replybrary_CertificationsTracker_List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wmreply_Replybrary_ClientContacts_List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wmreply_Replybrary_Client_List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wmreply_Replybrary_Currency_List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wmreply_Replybrary_LessonsLearnt_List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wmreply_Replybrary_Links_List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wmreply_Replybrary_M365GroupID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wmreply_Replybrary_People_List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wmreply_Replybrary_ProjectHistory_List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wmreply_Replybrary_Project_List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wmreply_Replybrary_ReusableIdeas_List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wmreply_Replybrary_SkillLevels_List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wmreply_Replybrary_SMEs_List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wmreply_Replybrary_SP_Site</w:t>
      </w:r>
      <w:r>
        <w:br/>
      </w:r>
      <w:r>
        <w:t xml:space="preserve">(From environment variable definitions)</w:t>
      </w:r>
    </w:p>
    <w:bookmarkEnd w:id="12"/>
    <w:bookmarkStart w:id="13" w:name="screens-per-canvas-app"/>
    <w:p>
      <w:pPr>
        <w:pStyle w:val="Heading2"/>
      </w:pPr>
      <w:r>
        <w:t xml:space="preserve">Screens per canvas app</w:t>
      </w:r>
    </w:p>
    <w:p>
      <w:pPr>
        <w:pStyle w:val="Compact"/>
        <w:numPr>
          <w:ilvl w:val="0"/>
          <w:numId w:val="1006"/>
        </w:numPr>
      </w:pPr>
      <w:r>
        <w:t xml:space="preserve">wmreply_replybraryv2_c933c: none detected (screens array empty)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wmreply_replybrary_b320d: none detected (screens array empty)</w:t>
      </w:r>
    </w:p>
    <w:p>
      <w:pPr>
        <w:pStyle w:val="FirstParagraph"/>
      </w:pPr>
      <w:r>
        <w:t xml:space="preserve">Notes: counts and top-level totals are taken from the extracted overview and relationships data; workflow details and connector usage come from the workflows metadata.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2026-02-14T23:06:28Z</dcterms:created>
  <dcterms:modified xsi:type="dcterms:W3CDTF">2026-02-14T23:06:28Z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