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apps: 2 — wmreply_replybraryv2_c933c, wmreply_replybrary_b320d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44; of these: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(44 total − 18 connector edges)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found in the canvas apps)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  <w:r>
        <w:t xml:space="preserve">(Extracted from workflow details)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UploadLogo-F9309D25-C742-F011-877A-000D3A0CEB69.json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5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</w:t>
      </w:r>
    </w:p>
    <w:bookmarkEnd w:id="12"/>
    <w:bookmarkStart w:id="13" w:name="screens-per-app"/>
    <w:p>
      <w:pPr>
        <w:pStyle w:val="Heading2"/>
      </w:pPr>
      <w:r>
        <w:t xml:space="preserve">Screens per app</w:t>
      </w:r>
    </w:p>
    <w:p>
      <w:pPr>
        <w:pStyle w:val="Compact"/>
        <w:numPr>
          <w:ilvl w:val="0"/>
          <w:numId w:val="1006"/>
        </w:numPr>
      </w:pPr>
      <w:r>
        <w:t xml:space="preserve">No screens detected in either canvas app (both apps have empty screens lists)</w:t>
      </w:r>
    </w:p>
    <w:p>
      <w:pPr>
        <w:pStyle w:val="FirstParagraph"/>
      </w:pPr>
      <w:r>
        <w:t xml:space="preserve">If you want this exported as a downloadable Markdown file or need the connectors/workflows mapped to specific env-vars or apps, I can produce that next.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2026-02-23T18:30:55Z</dcterms:created>
  <dcterms:modified xsi:type="dcterms:W3CDTF">2026-02-23T18:30:55Z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