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solution-overview"/>
    <w:p>
      <w:pPr>
        <w:pStyle w:val="Heading1"/>
      </w:pPr>
      <w:r>
        <w:t xml:space="preserve">Solution overview</w:t>
      </w:r>
    </w:p>
    <w:p>
      <w:pPr>
        <w:pStyle w:val="Compact"/>
        <w:numPr>
          <w:ilvl w:val="0"/>
          <w:numId w:val="1001"/>
        </w:numPr>
      </w:pPr>
      <w:r>
        <w:t xml:space="preserve">Source: extracted solution files and metadata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2"/>
        </w:numPr>
      </w:pPr>
      <w:r>
        <w:t xml:space="preserve">Canvas apps (groups): 2</w:t>
      </w:r>
    </w:p>
    <w:p>
      <w:pPr>
        <w:pStyle w:val="Compact"/>
        <w:numPr>
          <w:ilvl w:val="0"/>
          <w:numId w:val="1002"/>
        </w:numPr>
      </w:pPr>
      <w:r>
        <w:t xml:space="preserve">Workflows: 10</w:t>
      </w:r>
    </w:p>
    <w:p>
      <w:pPr>
        <w:pStyle w:val="Compact"/>
        <w:numPr>
          <w:ilvl w:val="0"/>
          <w:numId w:val="1002"/>
        </w:numPr>
      </w:pPr>
      <w:r>
        <w:t xml:space="preserve">Environment variables: 16</w:t>
      </w:r>
    </w:p>
    <w:p>
      <w:pPr>
        <w:pStyle w:val="Compact"/>
        <w:numPr>
          <w:ilvl w:val="0"/>
          <w:numId w:val="1002"/>
        </w:numPr>
      </w:pPr>
      <w:r>
        <w:t xml:space="preserve">Relationship edges (total): 44</w:t>
      </w:r>
    </w:p>
    <w:p>
      <w:pPr>
        <w:pStyle w:val="Compact"/>
        <w:numPr>
          <w:ilvl w:val="1"/>
          <w:numId w:val="1003"/>
        </w:numPr>
      </w:pPr>
      <w:r>
        <w:t xml:space="preserve">workflow_to_connector: 18</w:t>
      </w:r>
    </w:p>
    <w:p>
      <w:pPr>
        <w:pStyle w:val="Compact"/>
        <w:numPr>
          <w:ilvl w:val="1"/>
          <w:numId w:val="1003"/>
        </w:numPr>
      </w:pPr>
      <w:r>
        <w:t xml:space="preserve">workflow_to_env: 26 (44 total − 18 connectors)</w:t>
      </w:r>
    </w:p>
    <w:p>
      <w:pPr>
        <w:pStyle w:val="Compact"/>
        <w:numPr>
          <w:ilvl w:val="0"/>
          <w:numId w:val="1002"/>
        </w:numPr>
      </w:pPr>
      <w:r>
        <w:t xml:space="preserve">Screens: 0 (no screens found in the canvas apps)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4"/>
        </w:numPr>
      </w:pPr>
      <w:r>
        <w:t xml:space="preserve">shared_sharepointonline</w:t>
      </w:r>
    </w:p>
    <w:p>
      <w:pPr>
        <w:pStyle w:val="Compact"/>
        <w:numPr>
          <w:ilvl w:val="0"/>
          <w:numId w:val="1004"/>
        </w:numPr>
      </w:pPr>
      <w:r>
        <w:t xml:space="preserve">shared_teams</w:t>
      </w:r>
    </w:p>
    <w:p>
      <w:pPr>
        <w:pStyle w:val="Compact"/>
        <w:numPr>
          <w:ilvl w:val="0"/>
          <w:numId w:val="1004"/>
        </w:numPr>
      </w:pPr>
      <w:r>
        <w:t xml:space="preserve">shared_office365users</w:t>
      </w:r>
    </w:p>
    <w:p>
      <w:pPr>
        <w:pStyle w:val="Compact"/>
        <w:numPr>
          <w:ilvl w:val="0"/>
          <w:numId w:val="1004"/>
        </w:numPr>
      </w:pPr>
      <w:r>
        <w:t xml:space="preserve">shared_office365groups</w:t>
      </w:r>
      <w:r>
        <w:t xml:space="preserve"> </w:t>
      </w:r>
      <w:r>
        <w:t xml:space="preserve">(Connectors observed across the workflow definitions)</w:t>
      </w:r>
    </w:p>
    <w:bookmarkEnd w:id="10"/>
    <w:bookmarkStart w:id="11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5"/>
        </w:numPr>
      </w:pPr>
      <w:r>
        <w:t xml:space="preserve">EndFormFlow-82921763-2342-F011-8779-000D3A0CEB69.json</w:t>
      </w:r>
    </w:p>
    <w:p>
      <w:pPr>
        <w:pStyle w:val="Compact"/>
        <w:numPr>
          <w:ilvl w:val="0"/>
          <w:numId w:val="1005"/>
        </w:numPr>
      </w:pPr>
      <w:r>
        <w:t xml:space="preserve">EndFormFlowReminder-128F82AA-B942-F011-877A-000D3A0CEB69.json</w:t>
      </w:r>
    </w:p>
    <w:p>
      <w:pPr>
        <w:pStyle w:val="Compact"/>
        <w:numPr>
          <w:ilvl w:val="0"/>
          <w:numId w:val="1005"/>
        </w:numPr>
      </w:pPr>
      <w:r>
        <w:t xml:space="preserve">IdentifierReminderFlow-D4AE74B0-DA42-F011-877A-000D3A0CEB69.json</w:t>
      </w:r>
    </w:p>
    <w:p>
      <w:pPr>
        <w:pStyle w:val="Compact"/>
        <w:numPr>
          <w:ilvl w:val="0"/>
          <w:numId w:val="1005"/>
        </w:numPr>
      </w:pPr>
      <w:r>
        <w:t xml:space="preserve">PeopleListFlow-3CE0853C-4C36-F011-8C4C-6045BD0ACADB.json</w:t>
      </w:r>
    </w:p>
    <w:p>
      <w:pPr>
        <w:pStyle w:val="Compact"/>
        <w:numPr>
          <w:ilvl w:val="0"/>
          <w:numId w:val="1005"/>
        </w:numPr>
      </w:pPr>
      <w:r>
        <w:t xml:space="preserve">PMflow-A3194D5E-D434-F011-8C4C-6045BD0ACADB.json</w:t>
      </w:r>
    </w:p>
    <w:p>
      <w:pPr>
        <w:pStyle w:val="Compact"/>
        <w:numPr>
          <w:ilvl w:val="0"/>
          <w:numId w:val="1005"/>
        </w:numPr>
      </w:pPr>
      <w:r>
        <w:t xml:space="preserve">PMFormReminderFlow-B025C04D-D342-F011-877A-000D3A0CEB69.json</w:t>
      </w:r>
    </w:p>
    <w:p>
      <w:pPr>
        <w:pStyle w:val="Compact"/>
        <w:numPr>
          <w:ilvl w:val="0"/>
          <w:numId w:val="1005"/>
        </w:numPr>
      </w:pPr>
      <w:r>
        <w:t xml:space="preserve">ReplybraryDailyPipedrivecheck-5898F434-A147-F011-8779-000D3A0CEB69.json</w:t>
      </w:r>
    </w:p>
    <w:p>
      <w:pPr>
        <w:pStyle w:val="Compact"/>
        <w:numPr>
          <w:ilvl w:val="0"/>
          <w:numId w:val="1005"/>
        </w:numPr>
      </w:pPr>
      <w:r>
        <w:t xml:space="preserve">Replybrary_GetExchangeRate-4E437A2B-C74D-F011-877B-000D3A0CEB69.json</w:t>
      </w:r>
    </w:p>
    <w:p>
      <w:pPr>
        <w:pStyle w:val="Compact"/>
        <w:numPr>
          <w:ilvl w:val="0"/>
          <w:numId w:val="1005"/>
        </w:numPr>
      </w:pPr>
      <w:r>
        <w:t xml:space="preserve">Replybrary_Identifier_Flow-38CA161E-BA34-F011-8C4C-6045BD0ACADB.json</w:t>
      </w:r>
    </w:p>
    <w:p>
      <w:pPr>
        <w:pStyle w:val="Compact"/>
        <w:numPr>
          <w:ilvl w:val="0"/>
          <w:numId w:val="1005"/>
        </w:numPr>
      </w:pPr>
      <w:r>
        <w:t xml:space="preserve">UploadLogo-F9309D25-C742-F011-877A-000D3A0CEB69.json</w:t>
      </w:r>
      <w:r>
        <w:t xml:space="preserve"> </w:t>
      </w:r>
      <w:r>
        <w:t xml:space="preserve">(From the workflows listing)</w:t>
      </w:r>
    </w:p>
    <w:bookmarkEnd w:id="11"/>
    <w:bookmarkStart w:id="12" w:name="environment-variable-names"/>
    <w:p>
      <w:pPr>
        <w:pStyle w:val="Heading2"/>
      </w:pPr>
      <w:r>
        <w:t xml:space="preserve">Environment variable names</w:t>
      </w:r>
    </w:p>
    <w:p>
      <w:pPr>
        <w:pStyle w:val="Compact"/>
        <w:numPr>
          <w:ilvl w:val="0"/>
          <w:numId w:val="1006"/>
        </w:numPr>
      </w:pPr>
      <w:r>
        <w:t xml:space="preserve">wmreply_Replybrary_Admin_List</w:t>
      </w:r>
    </w:p>
    <w:p>
      <w:pPr>
        <w:pStyle w:val="Compact"/>
        <w:numPr>
          <w:ilvl w:val="0"/>
          <w:numId w:val="1006"/>
        </w:numPr>
      </w:pPr>
      <w:r>
        <w:t xml:space="preserve">wmreply_Replybrary_App_Link</w:t>
      </w:r>
    </w:p>
    <w:p>
      <w:pPr>
        <w:pStyle w:val="Compact"/>
        <w:numPr>
          <w:ilvl w:val="0"/>
          <w:numId w:val="1006"/>
        </w:numPr>
      </w:pPr>
      <w:r>
        <w:t xml:space="preserve">wmreply_Replybrary_CertificationsTracker_List</w:t>
      </w:r>
    </w:p>
    <w:p>
      <w:pPr>
        <w:pStyle w:val="Compact"/>
        <w:numPr>
          <w:ilvl w:val="0"/>
          <w:numId w:val="1006"/>
        </w:numPr>
      </w:pPr>
      <w:r>
        <w:t xml:space="preserve">wmreply_Replybrary_ClientContacts_List</w:t>
      </w:r>
    </w:p>
    <w:p>
      <w:pPr>
        <w:pStyle w:val="Compact"/>
        <w:numPr>
          <w:ilvl w:val="0"/>
          <w:numId w:val="1006"/>
        </w:numPr>
      </w:pPr>
      <w:r>
        <w:t xml:space="preserve">wmreply_Replybrary_Client_List</w:t>
      </w:r>
    </w:p>
    <w:p>
      <w:pPr>
        <w:pStyle w:val="Compact"/>
        <w:numPr>
          <w:ilvl w:val="0"/>
          <w:numId w:val="1006"/>
        </w:numPr>
      </w:pPr>
      <w:r>
        <w:t xml:space="preserve">wmreply_Replybrary_Currency_List</w:t>
      </w:r>
    </w:p>
    <w:p>
      <w:pPr>
        <w:pStyle w:val="Compact"/>
        <w:numPr>
          <w:ilvl w:val="0"/>
          <w:numId w:val="1006"/>
        </w:numPr>
      </w:pPr>
      <w:r>
        <w:t xml:space="preserve">wmreply_Replybrary_LessonsLearnt_List</w:t>
      </w:r>
    </w:p>
    <w:p>
      <w:pPr>
        <w:pStyle w:val="Compact"/>
        <w:numPr>
          <w:ilvl w:val="0"/>
          <w:numId w:val="1006"/>
        </w:numPr>
      </w:pPr>
      <w:r>
        <w:t xml:space="preserve">wmreply_Replybrary_Links_List</w:t>
      </w:r>
    </w:p>
    <w:p>
      <w:pPr>
        <w:pStyle w:val="Compact"/>
        <w:numPr>
          <w:ilvl w:val="0"/>
          <w:numId w:val="1006"/>
        </w:numPr>
      </w:pPr>
      <w:r>
        <w:t xml:space="preserve">wmreply_Replybrary_M365GroupID</w:t>
      </w:r>
    </w:p>
    <w:p>
      <w:pPr>
        <w:pStyle w:val="Compact"/>
        <w:numPr>
          <w:ilvl w:val="0"/>
          <w:numId w:val="1006"/>
        </w:numPr>
      </w:pPr>
      <w:r>
        <w:t xml:space="preserve">wmreply_Replybrary_People_List</w:t>
      </w:r>
    </w:p>
    <w:p>
      <w:pPr>
        <w:pStyle w:val="Compact"/>
        <w:numPr>
          <w:ilvl w:val="0"/>
          <w:numId w:val="1006"/>
        </w:numPr>
      </w:pPr>
      <w:r>
        <w:t xml:space="preserve">wmreply_Replybrary_ProjectHistory_List</w:t>
      </w:r>
    </w:p>
    <w:p>
      <w:pPr>
        <w:pStyle w:val="Compact"/>
        <w:numPr>
          <w:ilvl w:val="0"/>
          <w:numId w:val="1006"/>
        </w:numPr>
      </w:pPr>
      <w:r>
        <w:t xml:space="preserve">wmreply_Replybrary_Project_List</w:t>
      </w:r>
    </w:p>
    <w:p>
      <w:pPr>
        <w:pStyle w:val="Compact"/>
        <w:numPr>
          <w:ilvl w:val="0"/>
          <w:numId w:val="1006"/>
        </w:numPr>
      </w:pPr>
      <w:r>
        <w:t xml:space="preserve">wmreply_Replybrary_ReusableIdeas_List</w:t>
      </w:r>
    </w:p>
    <w:p>
      <w:pPr>
        <w:pStyle w:val="Compact"/>
        <w:numPr>
          <w:ilvl w:val="0"/>
          <w:numId w:val="1006"/>
        </w:numPr>
      </w:pPr>
      <w:r>
        <w:t xml:space="preserve">wmreply_Replybrary_SkillLevels_List</w:t>
      </w:r>
    </w:p>
    <w:p>
      <w:pPr>
        <w:pStyle w:val="Compact"/>
        <w:numPr>
          <w:ilvl w:val="0"/>
          <w:numId w:val="1006"/>
        </w:numPr>
      </w:pPr>
      <w:r>
        <w:t xml:space="preserve">wmreply_Replybrary_SMEs_List</w:t>
      </w:r>
    </w:p>
    <w:p>
      <w:pPr>
        <w:pStyle w:val="Compact"/>
        <w:numPr>
          <w:ilvl w:val="0"/>
          <w:numId w:val="1006"/>
        </w:numPr>
      </w:pPr>
      <w:r>
        <w:t xml:space="preserve">wmreply_Replybrary_SP_Site</w:t>
      </w:r>
      <w:r>
        <w:t xml:space="preserve"> </w:t>
      </w:r>
      <w:r>
        <w:t xml:space="preserve">(List pulled from the environment-variable definitions)</w:t>
      </w:r>
    </w:p>
    <w:bookmarkEnd w:id="12"/>
    <w:bookmarkStart w:id="13" w:name="canvas-apps-and-screens"/>
    <w:p>
      <w:pPr>
        <w:pStyle w:val="Heading2"/>
      </w:pPr>
      <w:r>
        <w:t xml:space="preserve">Canvas apps and screens</w:t>
      </w:r>
    </w:p>
    <w:p>
      <w:pPr>
        <w:pStyle w:val="Compact"/>
        <w:numPr>
          <w:ilvl w:val="0"/>
          <w:numId w:val="1007"/>
        </w:numPr>
      </w:pPr>
      <w:r>
        <w:t xml:space="preserve">Apps:</w:t>
      </w:r>
    </w:p>
    <w:p>
      <w:pPr>
        <w:pStyle w:val="Compact"/>
        <w:numPr>
          <w:ilvl w:val="1"/>
          <w:numId w:val="1008"/>
        </w:numPr>
      </w:pPr>
      <w:r>
        <w:t xml:space="preserve">wmreply_replybraryv2_c933c — screens: none detected</w:t>
      </w:r>
    </w:p>
    <w:p>
      <w:pPr>
        <w:pStyle w:val="Compact"/>
        <w:numPr>
          <w:ilvl w:val="1"/>
          <w:numId w:val="1008"/>
        </w:numPr>
      </w:pPr>
      <w:r>
        <w:t xml:space="preserve">wmreply_replybrary_b320d — screens: none detected</w:t>
      </w:r>
      <w:r>
        <w:t xml:space="preserve"> </w:t>
      </w:r>
      <w:r>
        <w:t xml:space="preserve">(Canvas app groups and file entries)</w:t>
      </w:r>
    </w:p>
    <w:bookmarkEnd w:id="13"/>
    <w:bookmarkStart w:id="14" w:name="notes-sources"/>
    <w:p>
      <w:pPr>
        <w:pStyle w:val="Heading2"/>
      </w:pPr>
      <w:r>
        <w:t xml:space="preserve">Notes / sources</w:t>
      </w:r>
    </w:p>
    <w:p>
      <w:pPr>
        <w:pStyle w:val="Compact"/>
        <w:numPr>
          <w:ilvl w:val="0"/>
          <w:numId w:val="1009"/>
        </w:numPr>
      </w:pPr>
      <w:r>
        <w:t xml:space="preserve">Metadata counts and totals from overview.json</w:t>
      </w:r>
    </w:p>
    <w:p>
      <w:pPr>
        <w:pStyle w:val="Compact"/>
        <w:numPr>
          <w:ilvl w:val="0"/>
          <w:numId w:val="1009"/>
        </w:numPr>
      </w:pPr>
      <w:r>
        <w:t xml:space="preserve">Workflow details (connectors, triggers, env vars) from the extracted workflow summaries</w:t>
      </w:r>
    </w:p>
    <w:p>
      <w:pPr>
        <w:pStyle w:val="Compact"/>
        <w:numPr>
          <w:ilvl w:val="0"/>
          <w:numId w:val="1009"/>
        </w:numPr>
      </w:pPr>
      <w:r>
        <w:t xml:space="preserve">Full workflow list from workflows.json</w:t>
      </w:r>
    </w:p>
    <w:p>
      <w:pPr>
        <w:pStyle w:val="Compact"/>
        <w:numPr>
          <w:ilvl w:val="0"/>
          <w:numId w:val="1009"/>
        </w:numPr>
      </w:pPr>
      <w:r>
        <w:t xml:space="preserve">Environment variable names from envvars.json</w:t>
      </w:r>
    </w:p>
    <w:p>
      <w:pPr>
        <w:pStyle w:val="Compact"/>
        <w:numPr>
          <w:ilvl w:val="0"/>
          <w:numId w:val="1009"/>
        </w:numPr>
      </w:pPr>
      <w:r>
        <w:t xml:space="preserve">Canvas app details from canvasapps_detailed.json and canvasapps.json</w:t>
      </w:r>
    </w:p>
    <w:p>
      <w:pPr>
        <w:pStyle w:val="FirstParagraph"/>
      </w:pPr>
      <w:r>
        <w:t xml:space="preserve">If you want this expanded into a short diagram (workflow → env / connector) or a CSV export of these lists, I can produce that next.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2026-02-23T17:51:14Z</dcterms:created>
  <dcterms:modified xsi:type="dcterms:W3CDTF">2026-02-23T17:51:14Z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