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24" w:rsidRPr="00E84821" w:rsidRDefault="007C78B1">
      <w:pPr>
        <w:jc w:val="center"/>
        <w:rPr>
          <w:rFonts w:ascii="Calibri Light" w:hAnsi="Calibri Light"/>
          <w:b/>
          <w:i/>
          <w:sz w:val="32"/>
          <w:szCs w:val="32"/>
          <w:lang w:val="ru-RU"/>
        </w:rPr>
      </w:pPr>
      <w:proofErr w:type="spellStart"/>
      <w:r w:rsidRPr="00E84821">
        <w:rPr>
          <w:rFonts w:ascii="Calibri Light" w:hAnsi="Calibri Light"/>
          <w:b/>
          <w:i/>
          <w:sz w:val="32"/>
          <w:szCs w:val="32"/>
          <w:lang w:val="ru-RU"/>
        </w:rPr>
        <w:t>Бройдо</w:t>
      </w:r>
      <w:proofErr w:type="spellEnd"/>
      <w:r w:rsidRPr="00E84821">
        <w:rPr>
          <w:rFonts w:ascii="Calibri Light" w:hAnsi="Calibri Light"/>
          <w:b/>
          <w:i/>
          <w:sz w:val="32"/>
          <w:szCs w:val="32"/>
          <w:lang w:val="ru-RU"/>
        </w:rPr>
        <w:t xml:space="preserve"> Глеб Дмитриевич – ИБ-11</w:t>
      </w:r>
    </w:p>
    <w:p w:rsidR="00855524" w:rsidRDefault="00E84821">
      <w:pPr>
        <w:jc w:val="center"/>
        <w:rPr>
          <w:rFonts w:ascii="Calibri Light" w:hAnsi="Calibri Light"/>
          <w:b/>
          <w:i/>
          <w:sz w:val="32"/>
          <w:szCs w:val="32"/>
          <w:lang w:val="ru-RU"/>
        </w:rPr>
      </w:pPr>
      <w:r w:rsidRPr="007C78B1">
        <w:rPr>
          <w:rFonts w:ascii="Calibri Light" w:hAnsi="Calibri Light"/>
          <w:b/>
          <w:i/>
          <w:sz w:val="32"/>
          <w:szCs w:val="32"/>
          <w:lang w:val="ru-RU"/>
        </w:rPr>
        <w:t>Рецен</w:t>
      </w:r>
      <w:bookmarkStart w:id="0" w:name="_GoBack"/>
      <w:bookmarkEnd w:id="0"/>
      <w:r w:rsidRPr="007C78B1">
        <w:rPr>
          <w:rFonts w:ascii="Calibri Light" w:hAnsi="Calibri Light"/>
          <w:b/>
          <w:i/>
          <w:sz w:val="32"/>
          <w:szCs w:val="32"/>
          <w:lang w:val="ru-RU"/>
        </w:rPr>
        <w:t xml:space="preserve">зия на научную статью </w:t>
      </w:r>
      <w:r>
        <w:rPr>
          <w:rFonts w:ascii="Calibri Light" w:hAnsi="Calibri Light"/>
          <w:b/>
          <w:i/>
          <w:sz w:val="32"/>
          <w:szCs w:val="32"/>
          <w:lang w:val="ru-RU"/>
        </w:rPr>
        <w:t>И.Н. Смирнова</w:t>
      </w:r>
      <w:r w:rsidRPr="007C78B1">
        <w:rPr>
          <w:rFonts w:ascii="Calibri Light" w:hAnsi="Calibri Light"/>
          <w:b/>
          <w:i/>
          <w:sz w:val="32"/>
          <w:szCs w:val="32"/>
          <w:lang w:val="ru-RU"/>
        </w:rPr>
        <w:t xml:space="preserve"> </w:t>
      </w:r>
      <w:r>
        <w:rPr>
          <w:rFonts w:ascii="Calibri Light" w:hAnsi="Calibri Light"/>
          <w:b/>
          <w:i/>
          <w:sz w:val="32"/>
          <w:szCs w:val="32"/>
          <w:lang w:val="ru-RU"/>
        </w:rPr>
        <w:t>и</w:t>
      </w:r>
      <w:r>
        <w:rPr>
          <w:rFonts w:ascii="Calibri Light" w:hAnsi="Calibri Light"/>
          <w:b/>
          <w:i/>
          <w:sz w:val="32"/>
          <w:szCs w:val="32"/>
          <w:lang w:val="ru-RU"/>
        </w:rPr>
        <w:t xml:space="preserve"> Е.В. </w:t>
      </w:r>
      <w:proofErr w:type="spellStart"/>
      <w:r>
        <w:rPr>
          <w:rFonts w:ascii="Calibri Light" w:hAnsi="Calibri Light"/>
          <w:b/>
          <w:i/>
          <w:sz w:val="32"/>
          <w:szCs w:val="32"/>
          <w:lang w:val="ru-RU"/>
        </w:rPr>
        <w:t>Мирошникова</w:t>
      </w:r>
      <w:proofErr w:type="spellEnd"/>
    </w:p>
    <w:p w:rsidR="00855524" w:rsidRDefault="00855524">
      <w:pPr>
        <w:jc w:val="center"/>
        <w:rPr>
          <w:rFonts w:ascii="Calibri Light" w:hAnsi="Calibri Light"/>
          <w:b/>
          <w:i/>
          <w:sz w:val="32"/>
          <w:szCs w:val="32"/>
          <w:lang w:val="ru-RU"/>
        </w:rPr>
      </w:pPr>
    </w:p>
    <w:p w:rsidR="00855524" w:rsidRDefault="00E84821">
      <w:pPr>
        <w:jc w:val="center"/>
        <w:rPr>
          <w:rFonts w:ascii="Calibri Light" w:hAnsi="Calibri Light"/>
          <w:b/>
          <w:i/>
          <w:sz w:val="32"/>
          <w:szCs w:val="32"/>
          <w:lang w:val="ru-RU"/>
        </w:rPr>
      </w:pPr>
      <w:r>
        <w:rPr>
          <w:rFonts w:ascii="Calibri Light" w:hAnsi="Calibri Light"/>
          <w:b/>
          <w:i/>
          <w:sz w:val="32"/>
          <w:szCs w:val="32"/>
          <w:lang w:val="ru-RU"/>
        </w:rPr>
        <w:t xml:space="preserve">«МОДЕРНИЗАЦИЯ РОССИЙСКОЙ ЭКОНОМИКИ В ГОДЫ ГОСУДАРСТВЕННОЙ ДЕЯТЕЛЬНОСТИ С.Ю. ВИТТЕ» </w:t>
      </w:r>
    </w:p>
    <w:p w:rsidR="00855524" w:rsidRPr="007C78B1" w:rsidRDefault="00855524">
      <w:pPr>
        <w:jc w:val="center"/>
        <w:rPr>
          <w:rFonts w:ascii="Calibri Light" w:hAnsi="Calibri Light"/>
          <w:b/>
          <w:i/>
          <w:sz w:val="28"/>
          <w:szCs w:val="28"/>
          <w:lang w:val="ru-RU"/>
        </w:rPr>
      </w:pPr>
    </w:p>
    <w:p w:rsidR="00855524" w:rsidRPr="007C78B1" w:rsidRDefault="00E84821">
      <w:pPr>
        <w:jc w:val="center"/>
        <w:rPr>
          <w:rFonts w:ascii="Calibri Light" w:hAnsi="Calibri Light"/>
          <w:b/>
          <w:i/>
          <w:sz w:val="28"/>
          <w:szCs w:val="28"/>
          <w:lang w:val="ru-RU"/>
        </w:rPr>
      </w:pPr>
      <w:hyperlink r:id="rId4" w:history="1">
        <w:r>
          <w:rPr>
            <w:rStyle w:val="a3"/>
            <w:rFonts w:ascii="Calibri Light" w:hAnsi="Calibri Light"/>
            <w:b/>
            <w:i/>
            <w:sz w:val="28"/>
            <w:szCs w:val="28"/>
          </w:rPr>
          <w:t>https</w:t>
        </w:r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cyberleninka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ru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/</w:t>
        </w:r>
        <w:r>
          <w:rPr>
            <w:rStyle w:val="a3"/>
            <w:rFonts w:ascii="Calibri Light" w:hAnsi="Calibri Light"/>
            <w:b/>
            <w:i/>
            <w:sz w:val="28"/>
            <w:szCs w:val="28"/>
          </w:rPr>
          <w:t>article</w:t>
        </w:r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/</w:t>
        </w:r>
        <w:r>
          <w:rPr>
            <w:rStyle w:val="a3"/>
            <w:rFonts w:ascii="Calibri Light" w:hAnsi="Calibri Light"/>
            <w:b/>
            <w:i/>
            <w:sz w:val="28"/>
            <w:szCs w:val="28"/>
          </w:rPr>
          <w:t>n</w:t>
        </w:r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/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modernizatsiya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rossiyskoy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ekonomiki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r>
          <w:rPr>
            <w:rStyle w:val="a3"/>
            <w:rFonts w:ascii="Calibri Light" w:hAnsi="Calibri Light"/>
            <w:b/>
            <w:i/>
            <w:sz w:val="28"/>
            <w:szCs w:val="28"/>
          </w:rPr>
          <w:t>v</w:t>
        </w:r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gody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gosudarstvennoy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deyatelnosti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r>
          <w:rPr>
            <w:rStyle w:val="a3"/>
            <w:rFonts w:ascii="Calibri Light" w:hAnsi="Calibri Light"/>
            <w:b/>
            <w:i/>
            <w:sz w:val="28"/>
            <w:szCs w:val="28"/>
          </w:rPr>
          <w:t>s</w:t>
        </w:r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yu</w:t>
        </w:r>
        <w:proofErr w:type="spellEnd"/>
        <w:r w:rsidRPr="007C78B1">
          <w:rPr>
            <w:rStyle w:val="a3"/>
            <w:rFonts w:ascii="Calibri Light" w:hAnsi="Calibri Light"/>
            <w:b/>
            <w:i/>
            <w:sz w:val="28"/>
            <w:szCs w:val="28"/>
            <w:lang w:val="ru-RU"/>
          </w:rPr>
          <w:t>-</w:t>
        </w:r>
        <w:proofErr w:type="spellStart"/>
        <w:r>
          <w:rPr>
            <w:rStyle w:val="a3"/>
            <w:rFonts w:ascii="Calibri Light" w:hAnsi="Calibri Light"/>
            <w:b/>
            <w:i/>
            <w:sz w:val="28"/>
            <w:szCs w:val="28"/>
          </w:rPr>
          <w:t>vitte</w:t>
        </w:r>
        <w:proofErr w:type="spellEnd"/>
      </w:hyperlink>
    </w:p>
    <w:p w:rsidR="00CF1AC1" w:rsidRDefault="00CF1AC1">
      <w:pPr>
        <w:jc w:val="both"/>
        <w:rPr>
          <w:rFonts w:ascii="Times New Roman" w:hAnsi="Times New Roman" w:cs="Times New Roman"/>
          <w:b/>
          <w:i/>
          <w:sz w:val="25"/>
          <w:szCs w:val="25"/>
          <w:lang w:val="ru-RU"/>
        </w:rPr>
      </w:pPr>
    </w:p>
    <w:p w:rsidR="00855524" w:rsidRPr="007C78B1" w:rsidRDefault="00E84821">
      <w:pPr>
        <w:jc w:val="both"/>
        <w:rPr>
          <w:rFonts w:ascii="Times New Roman" w:hAnsi="Times New Roman" w:cs="Times New Roman"/>
          <w:b/>
          <w:i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b/>
          <w:i/>
          <w:sz w:val="25"/>
          <w:szCs w:val="25"/>
          <w:lang w:val="ru-RU"/>
        </w:rPr>
        <w:t>Актуальность:</w:t>
      </w:r>
    </w:p>
    <w:p w:rsidR="00855524" w:rsidRPr="007C78B1" w:rsidRDefault="00E84821">
      <w:pPr>
        <w:ind w:firstLine="708"/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Изуч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ение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модернизации </w:t>
      </w:r>
      <w:r w:rsidR="00DF6143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в исторические</w:t>
      </w:r>
      <w:r w:rsidR="00DF6143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DF6143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периоды характерных изменений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приобретает существенное значение для оценки применимости соответствующих методов и стратегий в современных обстоятельствах. Подобный анализ </w:t>
      </w:r>
      <w:r w:rsidR="0097516C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позволяет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97516C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преодолевать препятствия</w:t>
      </w:r>
      <w:r w:rsidR="001A390B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подобные тем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, с которыми сталкивались предшествующие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реформатор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ы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, и позволяет извлечь </w:t>
      </w:r>
      <w:r w:rsidR="001A390B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пользу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из их опыта с целью формирования более эффективных стратегий модернизации в настоящем времени.</w:t>
      </w:r>
    </w:p>
    <w:p w:rsidR="00855524" w:rsidRPr="007C78B1" w:rsidRDefault="00855524">
      <w:pPr>
        <w:ind w:firstLine="708"/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</w:p>
    <w:p w:rsidR="00855524" w:rsidRPr="007C78B1" w:rsidRDefault="00E84821">
      <w:pPr>
        <w:jc w:val="both"/>
        <w:rPr>
          <w:rFonts w:ascii="Times New Roman" w:hAnsi="Times New Roman" w:cs="Times New Roman"/>
          <w:b/>
          <w:i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b/>
          <w:i/>
          <w:sz w:val="25"/>
          <w:szCs w:val="25"/>
          <w:lang w:val="ru-RU"/>
        </w:rPr>
        <w:t>Основные положения: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894629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Созданию развитой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денежно-кредитной системы в России препятствовали слабые рыночные отношения, частые войны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и крепостное право, ограничивавшие стабильность и предпринимательство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Природные условия и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удалённость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953009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многих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регионов от международных торговых путей мешали переходу к интенсивному развитию экономики и ограничивали торговлю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Консервативная часть помещичьего кл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асса выступала против укрепления рубля, воспринимая реформу как повторение европейских прецедентов, и критиковала отдельные аспекты реформы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Основные меры реформы включали введение золотого металлического обращения, привязку нового рубля к рублю бумажному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и обеспечение золотом половины кредитных билетов в обращении, что способствовало стабильности денежно-кредитной системы.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Опыт стабилизации рубля послужил примером для других стран, таких как Япония, Австро-Венгрия и Франция, в своих денежных реформах.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</w:rPr>
        <w:t>C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.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Ю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.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Витте установил государственный контроль над деятельностью частных банков, что </w:t>
      </w:r>
      <w:r w:rsidR="00B20F63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по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способствовало привлечению иностранных инвестиций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для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развити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я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тяжелой промышленности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Первоначально делалась ставка на непопулярные меры, такие как увеличение налогового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бремени. </w:t>
      </w:r>
      <w:r w:rsidR="00CF1AC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Однако удалось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отказаться от архаичных налогов и ввести новые формы налогообложения, такие как квартирный и промысловый налоги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Важным достижением было установление государственной монополии на торговлю спиртными напитками. Это позволило значит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ельно увеличить доходы бюджета, но вызвало острые споры и критику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lastRenderedPageBreak/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Средний ежегодный прирост доходов составил почти в два раза больше, чем в предыдущие 15 лет. Это позволило добиться превышения государственных доходов над расходами</w:t>
      </w:r>
    </w:p>
    <w:p w:rsidR="00855524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&gt;&gt;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Особое внимание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уделялось железнодорожному строительству, </w:t>
      </w:r>
      <w:proofErr w:type="spellStart"/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рассматривавшемуся</w:t>
      </w:r>
      <w:proofErr w:type="spellEnd"/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как ключевой фактор в индустриализации.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Так</w:t>
      </w:r>
      <w:r w:rsidR="00CF1AC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, </w:t>
      </w:r>
      <w:r w:rsidR="00CF1AC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к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1902 году 2/3 железных дорог находились в собственности государства.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&gt;&gt; 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В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1901 году началось движение по Транссибирской магистрали, которая стала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одним из самых значимых проектов</w:t>
      </w:r>
    </w:p>
    <w:p w:rsidR="00855524" w:rsidRPr="007C78B1" w:rsidRDefault="00E84821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&gt;&gt;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Действия правительства, направленные на улучшение социально-экономических показателей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и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аграрного сектора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, 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часто оказывались недостаточными, и к началу 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</w:rPr>
        <w:t>XX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века стало ясно, что требуются более 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серьёзные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изменения в социал</w:t>
      </w:r>
      <w:r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ьной сфере</w:t>
      </w:r>
    </w:p>
    <w:p w:rsidR="00855524" w:rsidRPr="007C78B1" w:rsidRDefault="00855524">
      <w:pPr>
        <w:ind w:firstLine="708"/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</w:p>
    <w:p w:rsidR="00855524" w:rsidRPr="007C78B1" w:rsidRDefault="00E84821">
      <w:pPr>
        <w:jc w:val="both"/>
        <w:rPr>
          <w:rFonts w:ascii="Times New Roman" w:hAnsi="Times New Roman" w:cs="Times New Roman"/>
          <w:b/>
          <w:i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b/>
          <w:i/>
          <w:sz w:val="25"/>
          <w:szCs w:val="25"/>
          <w:lang w:val="ru-RU"/>
        </w:rPr>
        <w:t>Выводы автора:</w:t>
      </w:r>
    </w:p>
    <w:p w:rsidR="00855524" w:rsidRPr="007C78B1" w:rsidRDefault="00E84821">
      <w:pPr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sz w:val="25"/>
          <w:szCs w:val="25"/>
          <w:lang w:val="ru-RU"/>
        </w:rPr>
        <w:t>В результате провед</w:t>
      </w:r>
      <w:r>
        <w:rPr>
          <w:rFonts w:ascii="Times New Roman" w:hAnsi="Times New Roman" w:cs="Times New Roman"/>
          <w:sz w:val="25"/>
          <w:szCs w:val="25"/>
          <w:lang w:val="ru-RU"/>
        </w:rPr>
        <w:t>ё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нных реформ в Российской империи в конце </w:t>
      </w:r>
      <w:r>
        <w:rPr>
          <w:rFonts w:ascii="Times New Roman" w:hAnsi="Times New Roman" w:cs="Times New Roman"/>
          <w:sz w:val="25"/>
          <w:szCs w:val="25"/>
        </w:rPr>
        <w:t>XIX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 – начале </w:t>
      </w:r>
      <w:r>
        <w:rPr>
          <w:rFonts w:ascii="Times New Roman" w:hAnsi="Times New Roman" w:cs="Times New Roman"/>
          <w:sz w:val="25"/>
          <w:szCs w:val="25"/>
        </w:rPr>
        <w:t>XX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 века под руководством</w:t>
      </w:r>
      <w:r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достигнут значительный экономический рост.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Несмотря на препятствия, стоявшие на пути, </w:t>
      </w:r>
      <w:r>
        <w:rPr>
          <w:rFonts w:ascii="Times New Roman" w:hAnsi="Times New Roman" w:cs="Times New Roman"/>
          <w:sz w:val="25"/>
          <w:szCs w:val="25"/>
          <w:lang w:val="ru-RU"/>
        </w:rPr>
        <w:t>б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лагодаря административным талантам</w:t>
      </w:r>
      <w:r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С.Ю.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Витте</w:t>
      </w:r>
      <w:r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эта реформа удалась.</w:t>
      </w:r>
      <w:r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Золотой рубль стал одной из наиболее устойчивых европейских валют, что благоприятствовало развитию банковской деятельности и создавало фундамент для превращения России в </w:t>
      </w:r>
      <w:proofErr w:type="spellStart"/>
      <w:r w:rsidRPr="007C78B1">
        <w:rPr>
          <w:rFonts w:ascii="Times New Roman" w:hAnsi="Times New Roman" w:cs="Times New Roman"/>
          <w:sz w:val="25"/>
          <w:szCs w:val="25"/>
          <w:lang w:val="ru-RU"/>
        </w:rPr>
        <w:t>инвестиционно</w:t>
      </w:r>
      <w:proofErr w:type="spellEnd"/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 привлекательную страну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. 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Благодаря усилению ба</w:t>
      </w:r>
      <w:r w:rsidRPr="007C78B1">
        <w:rPr>
          <w:rFonts w:ascii="Times New Roman" w:hAnsi="Times New Roman" w:cs="Times New Roman"/>
          <w:sz w:val="25"/>
          <w:szCs w:val="25"/>
          <w:lang w:val="ru-RU"/>
        </w:rPr>
        <w:t>нковской системы, стабилизации валюты и развитию промышленности страна вошла в число ведущих промышленных держав мира.</w:t>
      </w:r>
    </w:p>
    <w:p w:rsidR="00855524" w:rsidRPr="007C78B1" w:rsidRDefault="00855524">
      <w:pPr>
        <w:jc w:val="both"/>
        <w:rPr>
          <w:rFonts w:ascii="Segoe UI" w:eastAsia="Segoe UI" w:hAnsi="Segoe UI" w:cs="Segoe UI"/>
          <w:color w:val="ECECEC"/>
          <w:sz w:val="19"/>
          <w:szCs w:val="19"/>
          <w:shd w:val="clear" w:color="auto" w:fill="212121"/>
          <w:lang w:val="ru-RU"/>
        </w:rPr>
      </w:pPr>
    </w:p>
    <w:p w:rsidR="00855524" w:rsidRDefault="00E84821">
      <w:pPr>
        <w:jc w:val="both"/>
        <w:rPr>
          <w:rFonts w:ascii="Times New Roman" w:hAnsi="Times New Roman" w:cs="Times New Roman"/>
          <w:b/>
          <w:i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b/>
          <w:i/>
          <w:sz w:val="25"/>
          <w:szCs w:val="25"/>
          <w:lang w:val="ru-RU"/>
        </w:rPr>
        <w:t>Источники информации:</w:t>
      </w:r>
    </w:p>
    <w:p w:rsidR="00855524" w:rsidRDefault="00E84821">
      <w:pPr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Статьи – </w:t>
      </w:r>
      <w:r>
        <w:rPr>
          <w:rFonts w:ascii="Times New Roman" w:hAnsi="Times New Roman" w:cs="Times New Roman"/>
          <w:sz w:val="25"/>
          <w:szCs w:val="25"/>
          <w:lang w:val="ru-RU"/>
        </w:rPr>
        <w:t>6</w:t>
      </w:r>
    </w:p>
    <w:p w:rsidR="00855524" w:rsidRDefault="00855524">
      <w:pPr>
        <w:jc w:val="both"/>
        <w:rPr>
          <w:rFonts w:ascii="Times New Roman" w:hAnsi="Times New Roman" w:cs="Times New Roman"/>
          <w:sz w:val="25"/>
          <w:szCs w:val="25"/>
          <w:lang w:val="ru-RU"/>
        </w:rPr>
      </w:pPr>
    </w:p>
    <w:p w:rsidR="00855524" w:rsidRPr="007C78B1" w:rsidRDefault="00E84821">
      <w:pPr>
        <w:jc w:val="both"/>
        <w:rPr>
          <w:rFonts w:ascii="Times New Roman" w:hAnsi="Times New Roman" w:cs="Times New Roman"/>
          <w:lang w:val="ru-RU"/>
        </w:rPr>
      </w:pPr>
      <w:r w:rsidRPr="007C78B1">
        <w:rPr>
          <w:rFonts w:ascii="Times New Roman" w:hAnsi="Times New Roman" w:cs="Times New Roman"/>
          <w:b/>
          <w:i/>
          <w:sz w:val="25"/>
          <w:szCs w:val="25"/>
          <w:lang w:val="ru-RU"/>
        </w:rPr>
        <w:t>Личное мнение:</w:t>
      </w:r>
    </w:p>
    <w:p w:rsidR="00855524" w:rsidRPr="007C78B1" w:rsidRDefault="003659F6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Г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осударственная деятельность С.Ю. Витте внесла значительный вклад в 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модернизацию российской экономики и сыграла ключевую роль в формировании промышленной базы страны.</w:t>
      </w:r>
      <w:r w:rsidR="00E8482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Однако следует отметить, 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что реформы Витте имели как положительные, так и отрицател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ьные последствия. Например, хоть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промышленное развитие </w:t>
      </w:r>
      <w: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и 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было впечатляющим, оно также привело к усилению социальных противоречий и неравенства. Кроме того, монополизация некоторых отраслей, таких как 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торговля спиртными напитками, вызвала </w:t>
      </w:r>
      <w:r w:rsidR="00E8482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>определённые</w:t>
      </w:r>
      <w:r w:rsidR="00E84821" w:rsidRPr="007C78B1"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  <w:t xml:space="preserve"> негативные последствия для экономики и общества.</w:t>
      </w:r>
    </w:p>
    <w:p w:rsidR="00855524" w:rsidRPr="007C78B1" w:rsidRDefault="00E84821">
      <w:pPr>
        <w:jc w:val="both"/>
        <w:rPr>
          <w:rFonts w:ascii="Times New Roman" w:hAnsi="Times New Roman" w:cs="Times New Roman"/>
          <w:sz w:val="25"/>
          <w:szCs w:val="25"/>
          <w:lang w:val="ru-RU"/>
        </w:rPr>
      </w:pPr>
      <w:r w:rsidRPr="007C78B1">
        <w:rPr>
          <w:rFonts w:ascii="Times New Roman" w:hAnsi="Times New Roman" w:cs="Times New Roman"/>
          <w:sz w:val="25"/>
          <w:szCs w:val="25"/>
          <w:lang w:val="ru-RU"/>
        </w:rPr>
        <w:t xml:space="preserve"> </w:t>
      </w:r>
    </w:p>
    <w:p w:rsidR="00855524" w:rsidRPr="007C78B1" w:rsidRDefault="00855524">
      <w:pPr>
        <w:rPr>
          <w:rFonts w:ascii="Times New Roman" w:eastAsia="Segoe UI" w:hAnsi="Times New Roman" w:cs="Times New Roman"/>
          <w:color w:val="000000" w:themeColor="text1"/>
          <w:sz w:val="25"/>
          <w:szCs w:val="25"/>
          <w:lang w:val="ru-RU"/>
        </w:rPr>
      </w:pPr>
    </w:p>
    <w:sectPr w:rsidR="00855524" w:rsidRPr="007C78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842CF"/>
    <w:rsid w:val="001A390B"/>
    <w:rsid w:val="00222DB2"/>
    <w:rsid w:val="002E463F"/>
    <w:rsid w:val="003659F6"/>
    <w:rsid w:val="007C78B1"/>
    <w:rsid w:val="00855524"/>
    <w:rsid w:val="00894629"/>
    <w:rsid w:val="00953009"/>
    <w:rsid w:val="0097516C"/>
    <w:rsid w:val="00B20F63"/>
    <w:rsid w:val="00CF1AC1"/>
    <w:rsid w:val="00CF663A"/>
    <w:rsid w:val="00DF6143"/>
    <w:rsid w:val="00E84821"/>
    <w:rsid w:val="00FD35A3"/>
    <w:rsid w:val="23624708"/>
    <w:rsid w:val="6F6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D17483-AC6E-4E40-ACFC-C1BF7562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leninka.ru/article/n/modernizatsiya-rossiyskoy-ekonomiki-v-gody-gosudarstvennoy-deyatelnosti-s-yu-vit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Pinaev</dc:creator>
  <cp:lastModifiedBy>Учетная запись Майкрософт</cp:lastModifiedBy>
  <cp:revision>16</cp:revision>
  <dcterms:created xsi:type="dcterms:W3CDTF">2024-04-22T14:00:00Z</dcterms:created>
  <dcterms:modified xsi:type="dcterms:W3CDTF">2024-04-25T21:50:00Z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937440379FCF4AFBB1697DCC9B1CA3FE_11</vt:lpwstr>
  </property>
</Properties>
</file>