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Aptos Display" w:hAnsi="Aptos Display"/>
          <w:b/>
          <w:color w:val="1F4E79"/>
          <w:sz w:val="44"/>
        </w:rPr>
        <w:t>CVScan Product Requirements Document (PRD)</w:t>
      </w:r>
    </w:p>
    <w:p>
      <w:pPr>
        <w:spacing w:after="200"/>
      </w:pPr>
      <w:r>
        <w:rPr>
          <w:i/>
          <w:color w:val="666666"/>
          <w:sz w:val="21"/>
        </w:rPr>
        <w:t>Founder / investor version — simple, explanatory, and aligned to the current repo direction.</w:t>
      </w:r>
    </w:p>
    <w:p>
      <w:r>
        <w:rPr>
          <w:b/>
        </w:rPr>
        <w:t xml:space="preserve">Document purpose: </w:t>
      </w:r>
      <w:r>
        <w:t>This PRD explains what CVScan is, who it is for, why it matters, where it should win, and what should be built next. It is written for founder use, investor conversations, and product alignment.</w:t>
      </w:r>
    </w:p>
    <w:p>
      <w:r>
        <w:rPr>
          <w:b/>
        </w:rPr>
        <w:t xml:space="preserve">Execution note: </w:t>
      </w:r>
      <w:r>
        <w:t>For implementation work, the tactical single source of truth remains the Build_Spec in docs. This document is the strategic and product layer.</w:t>
      </w:r>
    </w:p>
    <w:p>
      <w:pPr>
        <w:pStyle w:val="Heading1"/>
      </w:pPr>
      <w:r>
        <w:t>1. Product summary</w:t>
      </w:r>
    </w:p>
    <w:p>
      <w:r>
        <w:t>CVScan is an AI-powered job-search operating system for candidates. It helps a user move from a generic resume and scattered job-search process to a structured, higher-conviction workflow: understand fit, tailor materials, track applications, prepare for interviews, and improve over time.</w:t>
        <w:br/>
        <w:br/>
        <w:t>Today, most job seekers juggle disconnected tools: resume checkers, job boards, cover letter generators, notes apps, spreadsheets, and interview prep tools. CVScan’s opportunity is to unify those into one guided product that saves time, increases quality, and compounds value as it learns the user’s career story.</w:t>
      </w:r>
    </w:p>
    <w:p>
      <w:pPr>
        <w:pStyle w:val="Heading1"/>
      </w:pPr>
      <w:r>
        <w:t>2. Core problem</w:t>
      </w:r>
    </w:p>
    <w:p>
      <w:r>
        <w:t>Job search is fragmented, repetitive, stressful, and low-feedback. Candidates repeatedly rewrite the same information, apply to weak-fit roles, lose track of where they applied, and enter interviews underprepared. Generic AI tools make this faster, but they do not create a reliable operating system. They also introduce trust problems when they invent achievements or overstate experience.</w:t>
      </w:r>
    </w:p>
    <w:p>
      <w:pPr>
        <w:pStyle w:val="Heading1"/>
      </w:pPr>
      <w:r>
        <w:t>3. Why now</w:t>
      </w:r>
    </w:p>
    <w:p>
      <w:r>
        <w:t>AI-assisted job search is already mainstream, but most products still feel like wrappers around generation. That creates a window for a stronger product: one that combines grounded career memory, workflow orchestration, tracking, and coaching. The market is moving from one-off AI outputs to persistent AI systems that can remember context and drive outcomes.</w:t>
      </w:r>
    </w:p>
    <w:p>
      <w:pPr>
        <w:pStyle w:val="Heading1"/>
      </w:pPr>
      <w:r>
        <w:t>4. Product vision</w:t>
      </w:r>
    </w:p>
    <w:p>
      <w:r>
        <w:t>CVScan should become the candidate operating system: the system a user relies on to run their entire job search with better judgment, better materials, better process discipline, and better interview readiness.</w:t>
      </w:r>
    </w:p>
    <w:p>
      <w:pPr>
        <w:pStyle w:val="ListBullet"/>
        <w:spacing w:after="40"/>
        <w:ind w:left="0"/>
      </w:pPr>
      <w:r>
        <w:t>Not just a resume tool</w:t>
      </w:r>
    </w:p>
    <w:p>
      <w:pPr>
        <w:pStyle w:val="ListBullet"/>
        <w:spacing w:after="40"/>
        <w:ind w:left="0"/>
      </w:pPr>
      <w:r>
        <w:t>Not just a cover letter generator</w:t>
      </w:r>
    </w:p>
    <w:p>
      <w:pPr>
        <w:pStyle w:val="ListBullet"/>
        <w:spacing w:after="40"/>
        <w:ind w:left="0"/>
      </w:pPr>
      <w:r>
        <w:t>Not just an ATS scanner</w:t>
      </w:r>
    </w:p>
    <w:p>
      <w:pPr>
        <w:pStyle w:val="ListBullet"/>
        <w:spacing w:after="40"/>
        <w:ind w:left="0"/>
      </w:pPr>
      <w:r>
        <w:t>A persistent, evidence-backed career workflow layer</w:t>
      </w:r>
    </w:p>
    <w:p>
      <w:pPr>
        <w:pStyle w:val="Heading1"/>
      </w:pPr>
      <w:r>
        <w:t>5. Sharp market wedge</w:t>
      </w:r>
    </w:p>
    <w:tbl>
      <w:tblPr>
        <w:tblW w:type="auto" w:w="0"/>
        <w:jc w:val="center"/>
        <w:tblLayout w:type="autofit"/>
        <w:tblLook w:firstColumn="1" w:firstRow="1" w:lastColumn="0" w:lastRow="0" w:noHBand="0" w:noVBand="1" w:val="04A0"/>
      </w:tblPr>
      <w:tblGrid>
        <w:gridCol w:w="9936"/>
      </w:tblGrid>
      <w:tr>
        <w:tc>
          <w:tcPr>
            <w:tcW w:type="dxa" w:w="9936"/>
            <w:shd w:fill="EEF5FB"/>
          </w:tcPr>
          <w:p>
            <w:pPr>
              <w:spacing w:after="40"/>
            </w:pPr>
            <w:r>
              <w:rPr>
                <w:b/>
                <w:color w:val="1F4E79"/>
              </w:rPr>
              <w:t>Highest-leverage wedge</w:t>
            </w:r>
          </w:p>
          <w:p>
            <w:pPr>
              <w:spacing w:after="0"/>
            </w:pPr>
            <w:r>
              <w:t>Own the moment after a user finds a job they might apply for. CVScan should answer: Should I apply? How should I tailor? What should I say? How do I track it? How do I prepare if I get the interview?</w:t>
            </w:r>
          </w:p>
        </w:tc>
      </w:tr>
    </w:tbl>
    <w:p/>
    <w:p>
      <w:r>
        <w:t>The best wedge is not broad career coaching. It is the highest-frequency, highest-stress workflow in job search: converting a real job description into a high-quality, tailored application and then managing the follow-through.</w:t>
      </w:r>
    </w:p>
    <w:p>
      <w:pPr>
        <w:pStyle w:val="Heading1"/>
      </w:pPr>
      <w:r>
        <w:t>6. Primary users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592"/>
            <w:shd w:fill="D9EAF7"/>
            <w:vAlign w:val="center"/>
          </w:tcPr>
          <w:p>
            <w:pPr>
              <w:spacing w:after="0"/>
            </w:pPr>
            <w:r/>
            <w:r>
              <w:rPr>
                <w:b/>
                <w:sz w:val="19"/>
              </w:rPr>
              <w:t>Segment</w:t>
            </w:r>
          </w:p>
        </w:tc>
        <w:tc>
          <w:tcPr>
            <w:tcW w:type="dxa" w:w="4032"/>
            <w:shd w:fill="D9EAF7"/>
            <w:vAlign w:val="center"/>
          </w:tcPr>
          <w:p>
            <w:pPr>
              <w:spacing w:after="0"/>
            </w:pPr>
            <w:r/>
            <w:r>
              <w:rPr>
                <w:b/>
                <w:sz w:val="19"/>
              </w:rPr>
              <w:t>Need</w:t>
            </w:r>
          </w:p>
        </w:tc>
        <w:tc>
          <w:tcPr>
            <w:tcW w:type="dxa" w:w="3744"/>
            <w:shd w:fill="D9EAF7"/>
            <w:vAlign w:val="center"/>
          </w:tcPr>
          <w:p>
            <w:pPr>
              <w:spacing w:after="0"/>
            </w:pPr>
            <w:r/>
            <w:r>
              <w:rPr>
                <w:b/>
                <w:sz w:val="19"/>
              </w:rPr>
              <w:t>Why attractive</w:t>
            </w:r>
          </w:p>
        </w:tc>
      </w:tr>
      <w:tr>
        <w:tc>
          <w:tcPr>
            <w:tcW w:type="dxa" w:w="2592"/>
            <w:vAlign w:val="center"/>
          </w:tcPr>
          <w:p>
            <w:pPr>
              <w:spacing w:after="0"/>
            </w:pPr>
            <w:r/>
            <w:r>
              <w:rPr>
                <w:b w:val="0"/>
                <w:sz w:val="19"/>
              </w:rPr>
              <w:t>New graduates</w:t>
            </w:r>
          </w:p>
        </w:tc>
        <w:tc>
          <w:tcPr>
            <w:tcW w:type="dxa" w:w="4032"/>
            <w:vAlign w:val="center"/>
          </w:tcPr>
          <w:p>
            <w:pPr>
              <w:spacing w:after="0"/>
            </w:pPr>
            <w:r/>
            <w:r>
              <w:rPr>
                <w:b w:val="0"/>
                <w:sz w:val="19"/>
              </w:rPr>
              <w:t>Structure, ATS help, interview prep</w:t>
            </w:r>
          </w:p>
        </w:tc>
        <w:tc>
          <w:tcPr>
            <w:tcW w:type="dxa" w:w="3744"/>
            <w:vAlign w:val="center"/>
          </w:tcPr>
          <w:p>
            <w:pPr>
              <w:spacing w:after="0"/>
            </w:pPr>
            <w:r/>
            <w:r>
              <w:rPr>
                <w:b w:val="0"/>
                <w:sz w:val="19"/>
              </w:rPr>
              <w:t>Large volume, weak existing process, high need for guidance</w:t>
            </w:r>
          </w:p>
        </w:tc>
      </w:tr>
      <w:tr>
        <w:tc>
          <w:tcPr>
            <w:tcW w:type="dxa" w:w="2592"/>
            <w:vAlign w:val="center"/>
          </w:tcPr>
          <w:p>
            <w:pPr>
              <w:spacing w:after="0"/>
            </w:pPr>
            <w:r/>
            <w:r>
              <w:rPr>
                <w:b w:val="0"/>
                <w:sz w:val="19"/>
              </w:rPr>
              <w:t>Career switchers</w:t>
            </w:r>
          </w:p>
        </w:tc>
        <w:tc>
          <w:tcPr>
            <w:tcW w:type="dxa" w:w="4032"/>
            <w:vAlign w:val="center"/>
          </w:tcPr>
          <w:p>
            <w:pPr>
              <w:spacing w:after="0"/>
            </w:pPr>
            <w:r/>
            <w:r>
              <w:rPr>
                <w:b w:val="0"/>
                <w:sz w:val="19"/>
              </w:rPr>
              <w:t>Narrative reframing, gap handling, confidence</w:t>
            </w:r>
          </w:p>
        </w:tc>
        <w:tc>
          <w:tcPr>
            <w:tcW w:type="dxa" w:w="3744"/>
            <w:vAlign w:val="center"/>
          </w:tcPr>
          <w:p>
            <w:pPr>
              <w:spacing w:after="0"/>
            </w:pPr>
            <w:r/>
            <w:r>
              <w:rPr>
                <w:b w:val="0"/>
                <w:sz w:val="19"/>
              </w:rPr>
              <w:t>High willingness to pay for transition support</w:t>
            </w:r>
          </w:p>
        </w:tc>
      </w:tr>
      <w:tr>
        <w:tc>
          <w:tcPr>
            <w:tcW w:type="dxa" w:w="2592"/>
            <w:vAlign w:val="center"/>
          </w:tcPr>
          <w:p>
            <w:pPr>
              <w:spacing w:after="0"/>
            </w:pPr>
            <w:r/>
            <w:r>
              <w:rPr>
                <w:b w:val="0"/>
                <w:sz w:val="19"/>
              </w:rPr>
              <w:t>Laid-off professionals</w:t>
            </w:r>
          </w:p>
        </w:tc>
        <w:tc>
          <w:tcPr>
            <w:tcW w:type="dxa" w:w="4032"/>
            <w:vAlign w:val="center"/>
          </w:tcPr>
          <w:p>
            <w:pPr>
              <w:spacing w:after="0"/>
            </w:pPr>
            <w:r/>
            <w:r>
              <w:rPr>
                <w:b w:val="0"/>
                <w:sz w:val="19"/>
              </w:rPr>
              <w:t>Speed, workflow, morale, consistency</w:t>
            </w:r>
          </w:p>
        </w:tc>
        <w:tc>
          <w:tcPr>
            <w:tcW w:type="dxa" w:w="3744"/>
            <w:vAlign w:val="center"/>
          </w:tcPr>
          <w:p>
            <w:pPr>
              <w:spacing w:after="0"/>
            </w:pPr>
            <w:r/>
            <w:r>
              <w:rPr>
                <w:b w:val="0"/>
                <w:sz w:val="19"/>
              </w:rPr>
              <w:t>Urgent need and strong near-term demand</w:t>
            </w:r>
          </w:p>
        </w:tc>
      </w:tr>
      <w:tr>
        <w:tc>
          <w:tcPr>
            <w:tcW w:type="dxa" w:w="2592"/>
            <w:vAlign w:val="center"/>
          </w:tcPr>
          <w:p>
            <w:pPr>
              <w:spacing w:after="0"/>
            </w:pPr>
            <w:r/>
            <w:r>
              <w:rPr>
                <w:b w:val="0"/>
                <w:sz w:val="19"/>
              </w:rPr>
              <w:t>International / visa candidates</w:t>
            </w:r>
          </w:p>
        </w:tc>
        <w:tc>
          <w:tcPr>
            <w:tcW w:type="dxa" w:w="4032"/>
            <w:vAlign w:val="center"/>
          </w:tcPr>
          <w:p>
            <w:pPr>
              <w:spacing w:after="0"/>
            </w:pPr>
            <w:r/>
            <w:r>
              <w:rPr>
                <w:b w:val="0"/>
                <w:sz w:val="19"/>
              </w:rPr>
              <w:t>Fit filtering, clarity, confidence</w:t>
            </w:r>
          </w:p>
        </w:tc>
        <w:tc>
          <w:tcPr>
            <w:tcW w:type="dxa" w:w="3744"/>
            <w:vAlign w:val="center"/>
          </w:tcPr>
          <w:p>
            <w:pPr>
              <w:spacing w:after="0"/>
            </w:pPr>
            <w:r/>
            <w:r>
              <w:rPr>
                <w:b w:val="0"/>
                <w:sz w:val="19"/>
              </w:rPr>
              <w:t>High pain, highly specific guidance needs</w:t>
            </w:r>
          </w:p>
        </w:tc>
      </w:tr>
      <w:tr>
        <w:tc>
          <w:tcPr>
            <w:tcW w:type="dxa" w:w="2592"/>
            <w:vAlign w:val="center"/>
          </w:tcPr>
          <w:p>
            <w:pPr>
              <w:spacing w:after="0"/>
            </w:pPr>
            <w:r/>
            <w:r>
              <w:rPr>
                <w:b w:val="0"/>
                <w:sz w:val="19"/>
              </w:rPr>
              <w:t>Busy experienced professionals</w:t>
            </w:r>
          </w:p>
        </w:tc>
        <w:tc>
          <w:tcPr>
            <w:tcW w:type="dxa" w:w="4032"/>
            <w:vAlign w:val="center"/>
          </w:tcPr>
          <w:p>
            <w:pPr>
              <w:spacing w:after="0"/>
            </w:pPr>
            <w:r/>
            <w:r>
              <w:rPr>
                <w:b w:val="0"/>
                <w:sz w:val="19"/>
              </w:rPr>
              <w:t>Efficiency and quality without repetition</w:t>
            </w:r>
          </w:p>
        </w:tc>
        <w:tc>
          <w:tcPr>
            <w:tcW w:type="dxa" w:w="3744"/>
            <w:vAlign w:val="center"/>
          </w:tcPr>
          <w:p>
            <w:pPr>
              <w:spacing w:after="0"/>
            </w:pPr>
            <w:r/>
            <w:r>
              <w:rPr>
                <w:b w:val="0"/>
                <w:sz w:val="19"/>
              </w:rPr>
              <w:t>Good monetization potential</w:t>
            </w:r>
          </w:p>
        </w:tc>
      </w:tr>
    </w:tbl>
    <w:p/>
    <w:p>
      <w:pPr>
        <w:pStyle w:val="Heading1"/>
      </w:pPr>
      <w:r>
        <w:t>7. Jobs to be done</w:t>
      </w:r>
    </w:p>
    <w:p>
      <w:pPr>
        <w:pStyle w:val="ListNumber"/>
        <w:spacing w:after="40"/>
      </w:pPr>
      <w:r>
        <w:t>Help me decide whether a job is worth applying for.</w:t>
      </w:r>
    </w:p>
    <w:p>
      <w:pPr>
        <w:pStyle w:val="ListNumber"/>
        <w:spacing w:after="40"/>
      </w:pPr>
      <w:r>
        <w:t>Turn my existing experience into a tailored, credible application quickly.</w:t>
      </w:r>
    </w:p>
    <w:p>
      <w:pPr>
        <w:pStyle w:val="ListNumber"/>
        <w:spacing w:after="40"/>
      </w:pPr>
      <w:r>
        <w:t>Keep my job search organized without using spreadsheets and scattered notes.</w:t>
      </w:r>
    </w:p>
    <w:p>
      <w:pPr>
        <w:pStyle w:val="ListNumber"/>
        <w:spacing w:after="40"/>
      </w:pPr>
      <w:r>
        <w:t>Help me prepare for interviews using my actual background.</w:t>
      </w:r>
    </w:p>
    <w:p>
      <w:pPr>
        <w:pStyle w:val="ListNumber"/>
        <w:spacing w:after="40"/>
      </w:pPr>
      <w:r>
        <w:t>Improve my job-search process over time instead of starting from zero for every role.</w:t>
      </w:r>
    </w:p>
    <w:p>
      <w:pPr>
        <w:pStyle w:val="Heading1"/>
      </w:pPr>
      <w:r>
        <w:t>8. Product pillars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304"/>
            <w:shd w:fill="D9EAF7"/>
            <w:vAlign w:val="center"/>
          </w:tcPr>
          <w:p>
            <w:pPr>
              <w:spacing w:after="0"/>
            </w:pPr>
            <w:r/>
            <w:r>
              <w:rPr>
                <w:b/>
                <w:sz w:val="19"/>
              </w:rPr>
              <w:t>Pillar</w:t>
            </w:r>
          </w:p>
        </w:tc>
        <w:tc>
          <w:tcPr>
            <w:tcW w:type="dxa" w:w="4032"/>
            <w:shd w:fill="D9EAF7"/>
            <w:vAlign w:val="center"/>
          </w:tcPr>
          <w:p>
            <w:pPr>
              <w:spacing w:after="0"/>
            </w:pPr>
            <w:r/>
            <w:r>
              <w:rPr>
                <w:b/>
                <w:sz w:val="19"/>
              </w:rPr>
              <w:t>What it means</w:t>
            </w:r>
          </w:p>
        </w:tc>
        <w:tc>
          <w:tcPr>
            <w:tcW w:type="dxa" w:w="3744"/>
            <w:shd w:fill="D9EAF7"/>
            <w:vAlign w:val="center"/>
          </w:tcPr>
          <w:p>
            <w:pPr>
              <w:spacing w:after="0"/>
            </w:pPr>
            <w:r/>
            <w:r>
              <w:rPr>
                <w:b/>
                <w:sz w:val="19"/>
              </w:rPr>
              <w:t>Why it matters</w:t>
            </w:r>
          </w:p>
        </w:tc>
      </w:tr>
      <w:tr>
        <w:tc>
          <w:tcPr>
            <w:tcW w:type="dxa" w:w="2304"/>
            <w:vAlign w:val="center"/>
          </w:tcPr>
          <w:p>
            <w:pPr>
              <w:spacing w:after="0"/>
            </w:pPr>
            <w:r/>
            <w:r>
              <w:rPr>
                <w:b w:val="0"/>
                <w:sz w:val="19"/>
              </w:rPr>
              <w:t>Career memory</w:t>
            </w:r>
          </w:p>
        </w:tc>
        <w:tc>
          <w:tcPr>
            <w:tcW w:type="dxa" w:w="4032"/>
            <w:vAlign w:val="center"/>
          </w:tcPr>
          <w:p>
            <w:pPr>
              <w:spacing w:after="0"/>
            </w:pPr>
            <w:r/>
            <w:r>
              <w:rPr>
                <w:b w:val="0"/>
                <w:sz w:val="19"/>
              </w:rPr>
              <w:t>Store facts, stories, metrics, goals, versions, outcomes</w:t>
            </w:r>
          </w:p>
        </w:tc>
        <w:tc>
          <w:tcPr>
            <w:tcW w:type="dxa" w:w="3744"/>
            <w:vAlign w:val="center"/>
          </w:tcPr>
          <w:p>
            <w:pPr>
              <w:spacing w:after="0"/>
            </w:pPr>
            <w:r/>
            <w:r>
              <w:rPr>
                <w:b w:val="0"/>
                <w:sz w:val="19"/>
              </w:rPr>
              <w:t>Reduces repetition and improves every workflow</w:t>
            </w:r>
          </w:p>
        </w:tc>
      </w:tr>
      <w:tr>
        <w:tc>
          <w:tcPr>
            <w:tcW w:type="dxa" w:w="2304"/>
            <w:vAlign w:val="center"/>
          </w:tcPr>
          <w:p>
            <w:pPr>
              <w:spacing w:after="0"/>
            </w:pPr>
            <w:r/>
            <w:r>
              <w:rPr>
                <w:b w:val="0"/>
                <w:sz w:val="19"/>
              </w:rPr>
              <w:t>Decision support</w:t>
            </w:r>
          </w:p>
        </w:tc>
        <w:tc>
          <w:tcPr>
            <w:tcW w:type="dxa" w:w="4032"/>
            <w:vAlign w:val="center"/>
          </w:tcPr>
          <w:p>
            <w:pPr>
              <w:spacing w:after="0"/>
            </w:pPr>
            <w:r/>
            <w:r>
              <w:rPr>
                <w:b w:val="0"/>
                <w:sz w:val="19"/>
              </w:rPr>
              <w:t>Apply / stretch / skip logic instead of generic ATS score only</w:t>
            </w:r>
          </w:p>
        </w:tc>
        <w:tc>
          <w:tcPr>
            <w:tcW w:type="dxa" w:w="3744"/>
            <w:vAlign w:val="center"/>
          </w:tcPr>
          <w:p>
            <w:pPr>
              <w:spacing w:after="0"/>
            </w:pPr>
            <w:r/>
            <w:r>
              <w:rPr>
                <w:b w:val="0"/>
                <w:sz w:val="19"/>
              </w:rPr>
              <w:t>Saves time and builds trust</w:t>
            </w:r>
          </w:p>
        </w:tc>
      </w:tr>
      <w:tr>
        <w:tc>
          <w:tcPr>
            <w:tcW w:type="dxa" w:w="2304"/>
            <w:vAlign w:val="center"/>
          </w:tcPr>
          <w:p>
            <w:pPr>
              <w:spacing w:after="0"/>
            </w:pPr>
            <w:r/>
            <w:r>
              <w:rPr>
                <w:b w:val="0"/>
                <w:sz w:val="19"/>
              </w:rPr>
              <w:t>Tailored generation</w:t>
            </w:r>
          </w:p>
        </w:tc>
        <w:tc>
          <w:tcPr>
            <w:tcW w:type="dxa" w:w="4032"/>
            <w:vAlign w:val="center"/>
          </w:tcPr>
          <w:p>
            <w:pPr>
              <w:spacing w:after="0"/>
            </w:pPr>
            <w:r/>
            <w:r>
              <w:rPr>
                <w:b w:val="0"/>
                <w:sz w:val="19"/>
              </w:rPr>
              <w:t>Resume bullets, cover letters, follow-ups grounded in facts</w:t>
            </w:r>
          </w:p>
        </w:tc>
        <w:tc>
          <w:tcPr>
            <w:tcW w:type="dxa" w:w="3744"/>
            <w:vAlign w:val="center"/>
          </w:tcPr>
          <w:p>
            <w:pPr>
              <w:spacing w:after="0"/>
            </w:pPr>
            <w:r/>
            <w:r>
              <w:rPr>
                <w:b w:val="0"/>
                <w:sz w:val="19"/>
              </w:rPr>
              <w:t>Delivers direct user value</w:t>
            </w:r>
          </w:p>
        </w:tc>
      </w:tr>
      <w:tr>
        <w:tc>
          <w:tcPr>
            <w:tcW w:type="dxa" w:w="2304"/>
            <w:vAlign w:val="center"/>
          </w:tcPr>
          <w:p>
            <w:pPr>
              <w:spacing w:after="0"/>
            </w:pPr>
            <w:r/>
            <w:r>
              <w:rPr>
                <w:b w:val="0"/>
                <w:sz w:val="19"/>
              </w:rPr>
              <w:t>Workflow system</w:t>
            </w:r>
          </w:p>
        </w:tc>
        <w:tc>
          <w:tcPr>
            <w:tcW w:type="dxa" w:w="4032"/>
            <w:vAlign w:val="center"/>
          </w:tcPr>
          <w:p>
            <w:pPr>
              <w:spacing w:after="0"/>
            </w:pPr>
            <w:r/>
            <w:r>
              <w:rPr>
                <w:b w:val="0"/>
                <w:sz w:val="19"/>
              </w:rPr>
              <w:t>Tracker, reminders, history, exports, next-best action</w:t>
            </w:r>
          </w:p>
        </w:tc>
        <w:tc>
          <w:tcPr>
            <w:tcW w:type="dxa" w:w="3744"/>
            <w:vAlign w:val="center"/>
          </w:tcPr>
          <w:p>
            <w:pPr>
              <w:spacing w:after="0"/>
            </w:pPr>
            <w:r/>
            <w:r>
              <w:rPr>
                <w:b w:val="0"/>
                <w:sz w:val="19"/>
              </w:rPr>
              <w:t>Drives retention</w:t>
            </w:r>
          </w:p>
        </w:tc>
      </w:tr>
      <w:tr>
        <w:tc>
          <w:tcPr>
            <w:tcW w:type="dxa" w:w="2304"/>
            <w:vAlign w:val="center"/>
          </w:tcPr>
          <w:p>
            <w:pPr>
              <w:spacing w:after="0"/>
            </w:pPr>
            <w:r/>
            <w:r>
              <w:rPr>
                <w:b w:val="0"/>
                <w:sz w:val="19"/>
              </w:rPr>
              <w:t>Interview and coaching</w:t>
            </w:r>
          </w:p>
        </w:tc>
        <w:tc>
          <w:tcPr>
            <w:tcW w:type="dxa" w:w="4032"/>
            <w:vAlign w:val="center"/>
          </w:tcPr>
          <w:p>
            <w:pPr>
              <w:spacing w:after="0"/>
            </w:pPr>
            <w:r/>
            <w:r>
              <w:rPr>
                <w:b w:val="0"/>
                <w:sz w:val="19"/>
              </w:rPr>
              <w:t>Practice, scoring, prep packs, company research</w:t>
            </w:r>
          </w:p>
        </w:tc>
        <w:tc>
          <w:tcPr>
            <w:tcW w:type="dxa" w:w="3744"/>
            <w:vAlign w:val="center"/>
          </w:tcPr>
          <w:p>
            <w:pPr>
              <w:spacing w:after="0"/>
            </w:pPr>
            <w:r/>
            <w:r>
              <w:rPr>
                <w:b w:val="0"/>
                <w:sz w:val="19"/>
              </w:rPr>
              <w:t>Improves outcomes and monetization</w:t>
            </w:r>
          </w:p>
        </w:tc>
      </w:tr>
    </w:tbl>
    <w:p/>
    <w:p>
      <w:pPr>
        <w:pStyle w:val="Heading1"/>
      </w:pPr>
      <w:r>
        <w:t>9. What the product must feel like</w:t>
      </w:r>
    </w:p>
    <w:p>
      <w:pPr>
        <w:pStyle w:val="ListBullet"/>
        <w:spacing w:after="40"/>
        <w:ind w:left="0"/>
      </w:pPr>
      <w:r>
        <w:t>Fast to first value</w:t>
      </w:r>
    </w:p>
    <w:p>
      <w:pPr>
        <w:pStyle w:val="ListBullet"/>
        <w:spacing w:after="40"/>
        <w:ind w:left="0"/>
      </w:pPr>
      <w:r>
        <w:t>Grounded and trustworthy, not magical but risky</w:t>
      </w:r>
    </w:p>
    <w:p>
      <w:pPr>
        <w:pStyle w:val="ListBullet"/>
        <w:spacing w:after="40"/>
        <w:ind w:left="0"/>
      </w:pPr>
      <w:r>
        <w:t>Guided without being rigid</w:t>
      </w:r>
    </w:p>
    <w:p>
      <w:pPr>
        <w:pStyle w:val="ListBullet"/>
        <w:spacing w:after="40"/>
        <w:ind w:left="0"/>
      </w:pPr>
      <w:r>
        <w:t>Useful every week, not just on day one</w:t>
      </w:r>
    </w:p>
    <w:p>
      <w:pPr>
        <w:pStyle w:val="ListBullet"/>
        <w:spacing w:after="40"/>
        <w:ind w:left="0"/>
      </w:pPr>
      <w:r>
        <w:t>Professional enough for serious candidates</w:t>
      </w:r>
    </w:p>
    <w:p>
      <w:pPr>
        <w:pStyle w:val="Heading1"/>
      </w:pPr>
      <w:r>
        <w:t>10. Core workflows</w:t>
      </w:r>
    </w:p>
    <w:p>
      <w:pPr>
        <w:pStyle w:val="Heading2"/>
      </w:pPr>
      <w:r>
        <w:t>Onboarding</w:t>
      </w:r>
    </w:p>
    <w:p>
      <w:pPr>
        <w:pStyle w:val="ListBullet"/>
        <w:spacing w:after="40"/>
        <w:ind w:left="0"/>
      </w:pPr>
      <w:r>
        <w:t>Import or paste resume</w:t>
      </w:r>
    </w:p>
    <w:p>
      <w:pPr>
        <w:pStyle w:val="ListBullet"/>
        <w:spacing w:after="40"/>
        <w:ind w:left="0"/>
      </w:pPr>
      <w:r>
        <w:t>Confirm extracted facts instead of trusting blind parsing</w:t>
      </w:r>
    </w:p>
    <w:p>
      <w:pPr>
        <w:pStyle w:val="ListBullet"/>
        <w:spacing w:after="40"/>
        <w:ind w:left="0"/>
      </w:pPr>
      <w:r>
        <w:t>Choose user path: new grad, switcher, active applicant, international candidate, etc.</w:t>
      </w:r>
    </w:p>
    <w:p>
      <w:pPr>
        <w:pStyle w:val="Heading2"/>
      </w:pPr>
      <w:r>
        <w:t>Job fit</w:t>
      </w:r>
    </w:p>
    <w:p>
      <w:pPr>
        <w:pStyle w:val="ListBullet"/>
        <w:spacing w:after="40"/>
        <w:ind w:left="0"/>
      </w:pPr>
      <w:r>
        <w:t>Paste or capture a job description</w:t>
      </w:r>
    </w:p>
    <w:p>
      <w:pPr>
        <w:pStyle w:val="ListBullet"/>
        <w:spacing w:after="40"/>
        <w:ind w:left="0"/>
      </w:pPr>
      <w:r>
        <w:t>Get fit verdict with reasons</w:t>
      </w:r>
    </w:p>
    <w:p>
      <w:pPr>
        <w:pStyle w:val="ListBullet"/>
        <w:spacing w:after="40"/>
        <w:ind w:left="0"/>
      </w:pPr>
      <w:r>
        <w:t>See must-have gaps, stretch areas, and strengths</w:t>
      </w:r>
    </w:p>
    <w:p>
      <w:pPr>
        <w:pStyle w:val="Heading2"/>
      </w:pPr>
      <w:r>
        <w:t>Tailoring</w:t>
      </w:r>
    </w:p>
    <w:p>
      <w:pPr>
        <w:pStyle w:val="ListBullet"/>
        <w:spacing w:after="40"/>
        <w:ind w:left="0"/>
      </w:pPr>
      <w:r>
        <w:t>Generate tailored bullets and a cover letter from approved facts only</w:t>
      </w:r>
    </w:p>
    <w:p>
      <w:pPr>
        <w:pStyle w:val="ListBullet"/>
        <w:spacing w:after="40"/>
        <w:ind w:left="0"/>
      </w:pPr>
      <w:r>
        <w:t>Show before/after diff and evidence tags</w:t>
      </w:r>
    </w:p>
    <w:p>
      <w:pPr>
        <w:pStyle w:val="ListBullet"/>
        <w:spacing w:after="40"/>
        <w:ind w:left="0"/>
      </w:pPr>
      <w:r>
        <w:t>Export an application pack</w:t>
      </w:r>
    </w:p>
    <w:p>
      <w:pPr>
        <w:pStyle w:val="Heading2"/>
      </w:pPr>
      <w:r>
        <w:t>Tracking</w:t>
      </w:r>
    </w:p>
    <w:p>
      <w:pPr>
        <w:pStyle w:val="ListBullet"/>
        <w:spacing w:after="40"/>
        <w:ind w:left="0"/>
      </w:pPr>
      <w:r>
        <w:t>Save the job, stage, notes, and follow-up tasks</w:t>
      </w:r>
    </w:p>
    <w:p>
      <w:pPr>
        <w:pStyle w:val="ListBullet"/>
        <w:spacing w:after="40"/>
        <w:ind w:left="0"/>
      </w:pPr>
      <w:r>
        <w:t>View next-best actions and deadlines</w:t>
      </w:r>
    </w:p>
    <w:p>
      <w:pPr>
        <w:pStyle w:val="Heading2"/>
      </w:pPr>
      <w:r>
        <w:t>Interview prep</w:t>
      </w:r>
    </w:p>
    <w:p>
      <w:pPr>
        <w:pStyle w:val="ListBullet"/>
        <w:spacing w:after="40"/>
        <w:ind w:left="0"/>
      </w:pPr>
      <w:r>
        <w:t>Generate likely questions and talking points</w:t>
      </w:r>
    </w:p>
    <w:p>
      <w:pPr>
        <w:pStyle w:val="ListBullet"/>
        <w:spacing w:after="40"/>
        <w:ind w:left="0"/>
      </w:pPr>
      <w:r>
        <w:t>Practice answers using the user’s real background</w:t>
      </w:r>
    </w:p>
    <w:p>
      <w:pPr>
        <w:pStyle w:val="ListBullet"/>
        <w:spacing w:after="40"/>
        <w:ind w:left="0"/>
      </w:pPr>
      <w:r>
        <w:t>Score with rubrics and improvement advice</w:t>
      </w:r>
    </w:p>
    <w:p>
      <w:pPr>
        <w:pStyle w:val="Heading1"/>
      </w:pPr>
      <w:r>
        <w:t>11. Recommended product priorities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152"/>
            <w:shd w:fill="D9EAF7"/>
            <w:vAlign w:val="center"/>
          </w:tcPr>
          <w:p>
            <w:pPr>
              <w:spacing w:after="0"/>
            </w:pPr>
            <w:r/>
            <w:r>
              <w:rPr>
                <w:b/>
                <w:sz w:val="19"/>
              </w:rPr>
              <w:t>Priority</w:t>
            </w:r>
          </w:p>
        </w:tc>
        <w:tc>
          <w:tcPr>
            <w:tcW w:type="dxa" w:w="4032"/>
            <w:shd w:fill="D9EAF7"/>
            <w:vAlign w:val="center"/>
          </w:tcPr>
          <w:p>
            <w:pPr>
              <w:spacing w:after="0"/>
            </w:pPr>
            <w:r/>
            <w:r>
              <w:rPr>
                <w:b/>
                <w:sz w:val="19"/>
              </w:rPr>
              <w:t>Recommendation</w:t>
            </w:r>
          </w:p>
        </w:tc>
        <w:tc>
          <w:tcPr>
            <w:tcW w:type="dxa" w:w="4896"/>
            <w:shd w:fill="D9EAF7"/>
            <w:vAlign w:val="center"/>
          </w:tcPr>
          <w:p>
            <w:pPr>
              <w:spacing w:after="0"/>
            </w:pPr>
            <w:r/>
            <w:r>
              <w:rPr>
                <w:b/>
                <w:sz w:val="19"/>
              </w:rPr>
              <w:t>Reason</w:t>
            </w:r>
          </w:p>
        </w:tc>
      </w:tr>
      <w:tr>
        <w:tc>
          <w:tcPr>
            <w:tcW w:type="dxa" w:w="1152"/>
            <w:vAlign w:val="center"/>
          </w:tcPr>
          <w:p>
            <w:pPr>
              <w:spacing w:after="0"/>
            </w:pPr>
            <w:r/>
            <w:r>
              <w:rPr>
                <w:b w:val="0"/>
                <w:sz w:val="19"/>
              </w:rPr>
              <w:t>P0</w:t>
            </w:r>
          </w:p>
        </w:tc>
        <w:tc>
          <w:tcPr>
            <w:tcW w:type="dxa" w:w="4032"/>
            <w:vAlign w:val="center"/>
          </w:tcPr>
          <w:p>
            <w:pPr>
              <w:spacing w:after="0"/>
            </w:pPr>
            <w:r/>
            <w:r>
              <w:rPr>
                <w:b w:val="0"/>
                <w:sz w:val="19"/>
              </w:rPr>
              <w:t>Evidence-backed career memory</w:t>
            </w:r>
          </w:p>
        </w:tc>
        <w:tc>
          <w:tcPr>
            <w:tcW w:type="dxa" w:w="4896"/>
            <w:vAlign w:val="center"/>
          </w:tcPr>
          <w:p>
            <w:pPr>
              <w:spacing w:after="0"/>
            </w:pPr>
            <w:r/>
            <w:r>
              <w:rPr>
                <w:b w:val="0"/>
                <w:sz w:val="19"/>
              </w:rPr>
              <w:t>Unlocks trust, personalization, retention, and defensibility</w:t>
            </w:r>
          </w:p>
        </w:tc>
      </w:tr>
      <w:tr>
        <w:tc>
          <w:tcPr>
            <w:tcW w:type="dxa" w:w="1152"/>
            <w:vAlign w:val="center"/>
          </w:tcPr>
          <w:p>
            <w:pPr>
              <w:spacing w:after="0"/>
            </w:pPr>
            <w:r/>
            <w:r>
              <w:rPr>
                <w:b w:val="0"/>
                <w:sz w:val="19"/>
              </w:rPr>
              <w:t>P0</w:t>
            </w:r>
          </w:p>
        </w:tc>
        <w:tc>
          <w:tcPr>
            <w:tcW w:type="dxa" w:w="4032"/>
            <w:vAlign w:val="center"/>
          </w:tcPr>
          <w:p>
            <w:pPr>
              <w:spacing w:after="0"/>
            </w:pPr>
            <w:r/>
            <w:r>
              <w:rPr>
                <w:b w:val="0"/>
                <w:sz w:val="19"/>
              </w:rPr>
              <w:t>Apply-or-skip decisioning</w:t>
            </w:r>
          </w:p>
        </w:tc>
        <w:tc>
          <w:tcPr>
            <w:tcW w:type="dxa" w:w="4896"/>
            <w:vAlign w:val="center"/>
          </w:tcPr>
          <w:p>
            <w:pPr>
              <w:spacing w:after="0"/>
            </w:pPr>
            <w:r/>
            <w:r>
              <w:rPr>
                <w:b w:val="0"/>
                <w:sz w:val="19"/>
              </w:rPr>
              <w:t>Improves user ROI immediately</w:t>
            </w:r>
          </w:p>
        </w:tc>
      </w:tr>
      <w:tr>
        <w:tc>
          <w:tcPr>
            <w:tcW w:type="dxa" w:w="1152"/>
            <w:vAlign w:val="center"/>
          </w:tcPr>
          <w:p>
            <w:pPr>
              <w:spacing w:after="0"/>
            </w:pPr>
            <w:r/>
            <w:r>
              <w:rPr>
                <w:b w:val="0"/>
                <w:sz w:val="19"/>
              </w:rPr>
              <w:t>P0</w:t>
            </w:r>
          </w:p>
        </w:tc>
        <w:tc>
          <w:tcPr>
            <w:tcW w:type="dxa" w:w="4032"/>
            <w:vAlign w:val="center"/>
          </w:tcPr>
          <w:p>
            <w:pPr>
              <w:spacing w:after="0"/>
            </w:pPr>
            <w:r/>
            <w:r>
              <w:rPr>
                <w:b w:val="0"/>
                <w:sz w:val="19"/>
              </w:rPr>
              <w:t>Tailor-diff and proof mode</w:t>
            </w:r>
          </w:p>
        </w:tc>
        <w:tc>
          <w:tcPr>
            <w:tcW w:type="dxa" w:w="4896"/>
            <w:vAlign w:val="center"/>
          </w:tcPr>
          <w:p>
            <w:pPr>
              <w:spacing w:after="0"/>
            </w:pPr>
            <w:r/>
            <w:r>
              <w:rPr>
                <w:b w:val="0"/>
                <w:sz w:val="19"/>
              </w:rPr>
              <w:t>Makes AI output explainable and credible</w:t>
            </w:r>
          </w:p>
        </w:tc>
      </w:tr>
      <w:tr>
        <w:tc>
          <w:tcPr>
            <w:tcW w:type="dxa" w:w="1152"/>
            <w:vAlign w:val="center"/>
          </w:tcPr>
          <w:p>
            <w:pPr>
              <w:spacing w:after="0"/>
            </w:pPr>
            <w:r/>
            <w:r>
              <w:rPr>
                <w:b w:val="0"/>
                <w:sz w:val="19"/>
              </w:rPr>
              <w:t>P1</w:t>
            </w:r>
          </w:p>
        </w:tc>
        <w:tc>
          <w:tcPr>
            <w:tcW w:type="dxa" w:w="4032"/>
            <w:vAlign w:val="center"/>
          </w:tcPr>
          <w:p>
            <w:pPr>
              <w:spacing w:after="0"/>
            </w:pPr>
            <w:r/>
            <w:r>
              <w:rPr>
                <w:b w:val="0"/>
                <w:sz w:val="19"/>
              </w:rPr>
              <w:t>Job capture browser extension</w:t>
            </w:r>
          </w:p>
        </w:tc>
        <w:tc>
          <w:tcPr>
            <w:tcW w:type="dxa" w:w="4896"/>
            <w:vAlign w:val="center"/>
          </w:tcPr>
          <w:p>
            <w:pPr>
              <w:spacing w:after="0"/>
            </w:pPr>
            <w:r/>
            <w:r>
              <w:rPr>
                <w:b w:val="0"/>
                <w:sz w:val="19"/>
              </w:rPr>
              <w:t>Improves daily utility and retention</w:t>
            </w:r>
          </w:p>
        </w:tc>
      </w:tr>
      <w:tr>
        <w:tc>
          <w:tcPr>
            <w:tcW w:type="dxa" w:w="1152"/>
            <w:vAlign w:val="center"/>
          </w:tcPr>
          <w:p>
            <w:pPr>
              <w:spacing w:after="0"/>
            </w:pPr>
            <w:r/>
            <w:r>
              <w:rPr>
                <w:b w:val="0"/>
                <w:sz w:val="19"/>
              </w:rPr>
              <w:t>P1</w:t>
            </w:r>
          </w:p>
        </w:tc>
        <w:tc>
          <w:tcPr>
            <w:tcW w:type="dxa" w:w="4032"/>
            <w:vAlign w:val="center"/>
          </w:tcPr>
          <w:p>
            <w:pPr>
              <w:spacing w:after="0"/>
            </w:pPr>
            <w:r/>
            <w:r>
              <w:rPr>
                <w:b w:val="0"/>
                <w:sz w:val="19"/>
              </w:rPr>
              <w:t>Job-search CRM and follow-ups</w:t>
            </w:r>
          </w:p>
        </w:tc>
        <w:tc>
          <w:tcPr>
            <w:tcW w:type="dxa" w:w="4896"/>
            <w:vAlign w:val="center"/>
          </w:tcPr>
          <w:p>
            <w:pPr>
              <w:spacing w:after="0"/>
            </w:pPr>
            <w:r/>
            <w:r>
              <w:rPr>
                <w:b w:val="0"/>
                <w:sz w:val="19"/>
              </w:rPr>
              <w:t>Turns tracker into a real workflow system</w:t>
            </w:r>
          </w:p>
        </w:tc>
      </w:tr>
      <w:tr>
        <w:tc>
          <w:tcPr>
            <w:tcW w:type="dxa" w:w="1152"/>
            <w:vAlign w:val="center"/>
          </w:tcPr>
          <w:p>
            <w:pPr>
              <w:spacing w:after="0"/>
            </w:pPr>
            <w:r/>
            <w:r>
              <w:rPr>
                <w:b w:val="0"/>
                <w:sz w:val="19"/>
              </w:rPr>
              <w:t>P1</w:t>
            </w:r>
          </w:p>
        </w:tc>
        <w:tc>
          <w:tcPr>
            <w:tcW w:type="dxa" w:w="4032"/>
            <w:vAlign w:val="center"/>
          </w:tcPr>
          <w:p>
            <w:pPr>
              <w:spacing w:after="0"/>
            </w:pPr>
            <w:r/>
            <w:r>
              <w:rPr>
                <w:b w:val="0"/>
                <w:sz w:val="19"/>
              </w:rPr>
              <w:t>Interview prep stack</w:t>
            </w:r>
          </w:p>
        </w:tc>
        <w:tc>
          <w:tcPr>
            <w:tcW w:type="dxa" w:w="4896"/>
            <w:vAlign w:val="center"/>
          </w:tcPr>
          <w:p>
            <w:pPr>
              <w:spacing w:after="0"/>
            </w:pPr>
            <w:r/>
            <w:r>
              <w:rPr>
                <w:b w:val="0"/>
                <w:sz w:val="19"/>
              </w:rPr>
              <w:t>High value and strong monetization</w:t>
            </w:r>
          </w:p>
        </w:tc>
      </w:tr>
      <w:tr>
        <w:tc>
          <w:tcPr>
            <w:tcW w:type="dxa" w:w="1152"/>
            <w:vAlign w:val="center"/>
          </w:tcPr>
          <w:p>
            <w:pPr>
              <w:spacing w:after="0"/>
            </w:pPr>
            <w:r/>
            <w:r>
              <w:rPr>
                <w:b w:val="0"/>
                <w:sz w:val="19"/>
              </w:rPr>
              <w:t>P2</w:t>
            </w:r>
          </w:p>
        </w:tc>
        <w:tc>
          <w:tcPr>
            <w:tcW w:type="dxa" w:w="4032"/>
            <w:vAlign w:val="center"/>
          </w:tcPr>
          <w:p>
            <w:pPr>
              <w:spacing w:after="0"/>
            </w:pPr>
            <w:r/>
            <w:r>
              <w:rPr>
                <w:b w:val="0"/>
                <w:sz w:val="19"/>
              </w:rPr>
              <w:t>B2B coach / bootcamp layer</w:t>
            </w:r>
          </w:p>
        </w:tc>
        <w:tc>
          <w:tcPr>
            <w:tcW w:type="dxa" w:w="4896"/>
            <w:vAlign w:val="center"/>
          </w:tcPr>
          <w:p>
            <w:pPr>
              <w:spacing w:after="0"/>
            </w:pPr>
            <w:r/>
            <w:r>
              <w:rPr>
                <w:b w:val="0"/>
                <w:sz w:val="19"/>
              </w:rPr>
              <w:t>Strong distribution, but after core candidate loop is solid</w:t>
            </w:r>
          </w:p>
        </w:tc>
      </w:tr>
    </w:tbl>
    <w:p/>
    <w:p>
      <w:pPr>
        <w:pStyle w:val="Heading1"/>
      </w:pPr>
      <w:r>
        <w:t>12. Monetization strategy</w:t>
      </w:r>
    </w:p>
    <w:p>
      <w:r>
        <w:t>The current credit model is workable as infrastructure, but users should not experience the product as a token meter. Commercial packaging should move toward outcome-based offers.</w:t>
      </w:r>
    </w:p>
    <w:p>
      <w:pPr>
        <w:pStyle w:val="ListBullet"/>
        <w:spacing w:after="40"/>
        <w:ind w:left="0"/>
      </w:pPr>
      <w:r>
        <w:t>Keep credits underneath the system for cost control</w:t>
      </w:r>
    </w:p>
    <w:p>
      <w:pPr>
        <w:pStyle w:val="ListBullet"/>
        <w:spacing w:after="40"/>
        <w:ind w:left="0"/>
      </w:pPr>
      <w:r>
        <w:t>Sell visible packages around outcomes: Application Pack, Interview Sprint, Career Switch Pack</w:t>
      </w:r>
    </w:p>
    <w:p>
      <w:pPr>
        <w:pStyle w:val="ListBullet"/>
        <w:spacing w:after="40"/>
        <w:ind w:left="0"/>
      </w:pPr>
      <w:r>
        <w:t>Use subscription for persistent workflows: memory, tracker, weekly coaching, advanced prep, extension</w:t>
      </w:r>
    </w:p>
    <w:p>
      <w:pPr>
        <w:pStyle w:val="ListBullet"/>
        <w:spacing w:after="40"/>
        <w:ind w:left="0"/>
      </w:pPr>
      <w:r>
        <w:t>Add later B2B plans for coaches, bootcamps, and workforce agencies</w:t>
      </w:r>
    </w:p>
    <w:p>
      <w:pPr>
        <w:pStyle w:val="Heading1"/>
      </w:pPr>
      <w:r>
        <w:t>13. Business model options</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2592"/>
            <w:shd w:fill="D9EAF7"/>
            <w:vAlign w:val="center"/>
          </w:tcPr>
          <w:p>
            <w:pPr>
              <w:spacing w:after="0"/>
            </w:pPr>
            <w:r/>
            <w:r>
              <w:rPr>
                <w:b/>
                <w:sz w:val="19"/>
              </w:rPr>
              <w:t>Model</w:t>
            </w:r>
          </w:p>
        </w:tc>
        <w:tc>
          <w:tcPr>
            <w:tcW w:type="dxa" w:w="1872"/>
            <w:shd w:fill="D9EAF7"/>
            <w:vAlign w:val="center"/>
          </w:tcPr>
          <w:p>
            <w:pPr>
              <w:spacing w:after="0"/>
            </w:pPr>
            <w:r/>
            <w:r>
              <w:rPr>
                <w:b/>
                <w:sz w:val="19"/>
              </w:rPr>
              <w:t>Near-term fit</w:t>
            </w:r>
          </w:p>
        </w:tc>
        <w:tc>
          <w:tcPr>
            <w:tcW w:type="dxa" w:w="5328"/>
            <w:shd w:fill="D9EAF7"/>
            <w:vAlign w:val="center"/>
          </w:tcPr>
          <w:p>
            <w:pPr>
              <w:spacing w:after="0"/>
            </w:pPr>
            <w:r/>
            <w:r>
              <w:rPr>
                <w:b/>
                <w:sz w:val="19"/>
              </w:rPr>
              <w:t>Notes</w:t>
            </w:r>
          </w:p>
        </w:tc>
      </w:tr>
      <w:tr>
        <w:tc>
          <w:tcPr>
            <w:tcW w:type="dxa" w:w="2592"/>
            <w:vAlign w:val="center"/>
          </w:tcPr>
          <w:p>
            <w:pPr>
              <w:spacing w:after="0"/>
            </w:pPr>
            <w:r/>
            <w:r>
              <w:rPr>
                <w:b w:val="0"/>
                <w:sz w:val="19"/>
              </w:rPr>
              <w:t>Consumer subscription</w:t>
            </w:r>
          </w:p>
        </w:tc>
        <w:tc>
          <w:tcPr>
            <w:tcW w:type="dxa" w:w="1872"/>
            <w:vAlign w:val="center"/>
          </w:tcPr>
          <w:p>
            <w:pPr>
              <w:spacing w:after="0"/>
            </w:pPr>
            <w:r/>
            <w:r>
              <w:rPr>
                <w:b w:val="0"/>
                <w:sz w:val="19"/>
              </w:rPr>
              <w:t>High</w:t>
            </w:r>
          </w:p>
        </w:tc>
        <w:tc>
          <w:tcPr>
            <w:tcW w:type="dxa" w:w="5328"/>
            <w:vAlign w:val="center"/>
          </w:tcPr>
          <w:p>
            <w:pPr>
              <w:spacing w:after="0"/>
            </w:pPr>
            <w:r/>
            <w:r>
              <w:rPr>
                <w:b w:val="0"/>
                <w:sz w:val="19"/>
              </w:rPr>
              <w:t>Good once weekly workflow and retention exist</w:t>
            </w:r>
          </w:p>
        </w:tc>
      </w:tr>
      <w:tr>
        <w:tc>
          <w:tcPr>
            <w:tcW w:type="dxa" w:w="2592"/>
            <w:vAlign w:val="center"/>
          </w:tcPr>
          <w:p>
            <w:pPr>
              <w:spacing w:after="0"/>
            </w:pPr>
            <w:r/>
            <w:r>
              <w:rPr>
                <w:b w:val="0"/>
                <w:sz w:val="19"/>
              </w:rPr>
              <w:t>One-time packs</w:t>
            </w:r>
          </w:p>
        </w:tc>
        <w:tc>
          <w:tcPr>
            <w:tcW w:type="dxa" w:w="1872"/>
            <w:vAlign w:val="center"/>
          </w:tcPr>
          <w:p>
            <w:pPr>
              <w:spacing w:after="0"/>
            </w:pPr>
            <w:r/>
            <w:r>
              <w:rPr>
                <w:b w:val="0"/>
                <w:sz w:val="19"/>
              </w:rPr>
              <w:t>High</w:t>
            </w:r>
          </w:p>
        </w:tc>
        <w:tc>
          <w:tcPr>
            <w:tcW w:type="dxa" w:w="5328"/>
            <w:vAlign w:val="center"/>
          </w:tcPr>
          <w:p>
            <w:pPr>
              <w:spacing w:after="0"/>
            </w:pPr>
            <w:r/>
            <w:r>
              <w:rPr>
                <w:b w:val="0"/>
                <w:sz w:val="19"/>
              </w:rPr>
              <w:t>Simple for users in active job search</w:t>
            </w:r>
          </w:p>
        </w:tc>
      </w:tr>
      <w:tr>
        <w:tc>
          <w:tcPr>
            <w:tcW w:type="dxa" w:w="2592"/>
            <w:vAlign w:val="center"/>
          </w:tcPr>
          <w:p>
            <w:pPr>
              <w:spacing w:after="0"/>
            </w:pPr>
            <w:r/>
            <w:r>
              <w:rPr>
                <w:b w:val="0"/>
                <w:sz w:val="19"/>
              </w:rPr>
              <w:t>Credit packs</w:t>
            </w:r>
          </w:p>
        </w:tc>
        <w:tc>
          <w:tcPr>
            <w:tcW w:type="dxa" w:w="1872"/>
            <w:vAlign w:val="center"/>
          </w:tcPr>
          <w:p>
            <w:pPr>
              <w:spacing w:after="0"/>
            </w:pPr>
            <w:r/>
            <w:r>
              <w:rPr>
                <w:b w:val="0"/>
                <w:sz w:val="19"/>
              </w:rPr>
              <w:t>Medium</w:t>
            </w:r>
          </w:p>
        </w:tc>
        <w:tc>
          <w:tcPr>
            <w:tcW w:type="dxa" w:w="5328"/>
            <w:vAlign w:val="center"/>
          </w:tcPr>
          <w:p>
            <w:pPr>
              <w:spacing w:after="0"/>
            </w:pPr>
            <w:r/>
            <w:r>
              <w:rPr>
                <w:b w:val="0"/>
                <w:sz w:val="19"/>
              </w:rPr>
              <w:t>Useful internally, weaker as external positioning</w:t>
            </w:r>
          </w:p>
        </w:tc>
      </w:tr>
      <w:tr>
        <w:tc>
          <w:tcPr>
            <w:tcW w:type="dxa" w:w="2592"/>
            <w:vAlign w:val="center"/>
          </w:tcPr>
          <w:p>
            <w:pPr>
              <w:spacing w:after="0"/>
            </w:pPr>
            <w:r/>
            <w:r>
              <w:rPr>
                <w:b w:val="0"/>
                <w:sz w:val="19"/>
              </w:rPr>
              <w:t>Career coach / bootcamp seats</w:t>
            </w:r>
          </w:p>
        </w:tc>
        <w:tc>
          <w:tcPr>
            <w:tcW w:type="dxa" w:w="1872"/>
            <w:vAlign w:val="center"/>
          </w:tcPr>
          <w:p>
            <w:pPr>
              <w:spacing w:after="0"/>
            </w:pPr>
            <w:r/>
            <w:r>
              <w:rPr>
                <w:b w:val="0"/>
                <w:sz w:val="19"/>
              </w:rPr>
              <w:t>Medium-high</w:t>
            </w:r>
          </w:p>
        </w:tc>
        <w:tc>
          <w:tcPr>
            <w:tcW w:type="dxa" w:w="5328"/>
            <w:vAlign w:val="center"/>
          </w:tcPr>
          <w:p>
            <w:pPr>
              <w:spacing w:after="0"/>
            </w:pPr>
            <w:r/>
            <w:r>
              <w:rPr>
                <w:b w:val="0"/>
                <w:sz w:val="19"/>
              </w:rPr>
              <w:t>Strong later once admin workflows exist</w:t>
            </w:r>
          </w:p>
        </w:tc>
      </w:tr>
      <w:tr>
        <w:tc>
          <w:tcPr>
            <w:tcW w:type="dxa" w:w="2592"/>
            <w:vAlign w:val="center"/>
          </w:tcPr>
          <w:p>
            <w:pPr>
              <w:spacing w:after="0"/>
            </w:pPr>
            <w:r/>
            <w:r>
              <w:rPr>
                <w:b w:val="0"/>
                <w:sz w:val="19"/>
              </w:rPr>
              <w:t>Affiliate revenue</w:t>
            </w:r>
          </w:p>
        </w:tc>
        <w:tc>
          <w:tcPr>
            <w:tcW w:type="dxa" w:w="1872"/>
            <w:vAlign w:val="center"/>
          </w:tcPr>
          <w:p>
            <w:pPr>
              <w:spacing w:after="0"/>
            </w:pPr>
            <w:r/>
            <w:r>
              <w:rPr>
                <w:b w:val="0"/>
                <w:sz w:val="19"/>
              </w:rPr>
              <w:t>Medium</w:t>
            </w:r>
          </w:p>
        </w:tc>
        <w:tc>
          <w:tcPr>
            <w:tcW w:type="dxa" w:w="5328"/>
            <w:vAlign w:val="center"/>
          </w:tcPr>
          <w:p>
            <w:pPr>
              <w:spacing w:after="0"/>
            </w:pPr>
            <w:r/>
            <w:r>
              <w:rPr>
                <w:b w:val="0"/>
                <w:sz w:val="19"/>
              </w:rPr>
              <w:t>Useful add-on, not the core model</w:t>
            </w:r>
          </w:p>
        </w:tc>
      </w:tr>
    </w:tbl>
    <w:p/>
    <w:p>
      <w:pPr>
        <w:pStyle w:val="Heading1"/>
      </w:pPr>
      <w:r>
        <w:t>14. Success metrics</w:t>
      </w:r>
    </w:p>
    <w:p>
      <w:pPr>
        <w:pStyle w:val="ListBullet"/>
        <w:spacing w:after="40"/>
        <w:ind w:left="0"/>
      </w:pPr>
      <w:r>
        <w:t>Activation: users complete resume import + first job fit scan + first tailored output</w:t>
      </w:r>
    </w:p>
    <w:p>
      <w:pPr>
        <w:pStyle w:val="ListBullet"/>
        <w:spacing w:after="40"/>
        <w:ind w:left="0"/>
      </w:pPr>
      <w:r>
        <w:t>Workflow completion: users finish a full application workflow in one session</w:t>
      </w:r>
    </w:p>
    <w:p>
      <w:pPr>
        <w:pStyle w:val="ListBullet"/>
        <w:spacing w:after="40"/>
        <w:ind w:left="0"/>
      </w:pPr>
      <w:r>
        <w:t>Retention: weekly active users who return for tracking, follow-ups, or interview prep</w:t>
      </w:r>
    </w:p>
    <w:p>
      <w:pPr>
        <w:pStyle w:val="ListBullet"/>
        <w:spacing w:after="40"/>
        <w:ind w:left="0"/>
      </w:pPr>
      <w:r>
        <w:t>Monetization: free-to-paid conversion, package conversion, and revenue per active job seeker</w:t>
      </w:r>
    </w:p>
    <w:p>
      <w:pPr>
        <w:pStyle w:val="ListBullet"/>
        <w:spacing w:after="40"/>
        <w:ind w:left="0"/>
      </w:pPr>
      <w:r>
        <w:t>Quality: user-reported trust in generated outputs and reduced manual correction</w:t>
      </w:r>
    </w:p>
    <w:p>
      <w:pPr>
        <w:pStyle w:val="ListBullet"/>
        <w:spacing w:after="40"/>
        <w:ind w:left="0"/>
      </w:pPr>
      <w:r>
        <w:t>Outcomes: interview rate, response rate, and offer-related self-reports over time</w:t>
      </w:r>
    </w:p>
    <w:p>
      <w:pPr>
        <w:pStyle w:val="Heading1"/>
      </w:pPr>
      <w:r>
        <w:t>15. Key risks</w:t>
      </w:r>
    </w:p>
    <w:p>
      <w:pPr>
        <w:pStyle w:val="ListBullet"/>
        <w:spacing w:after="40"/>
        <w:ind w:left="0"/>
      </w:pPr>
      <w:r>
        <w:t>Becoming a generic AI wrapper with weak differentiation</w:t>
      </w:r>
    </w:p>
    <w:p>
      <w:pPr>
        <w:pStyle w:val="ListBullet"/>
        <w:spacing w:after="40"/>
        <w:ind w:left="0"/>
      </w:pPr>
      <w:r>
        <w:t>Hallucinated achievements damaging trust</w:t>
      </w:r>
    </w:p>
    <w:p>
      <w:pPr>
        <w:pStyle w:val="ListBullet"/>
        <w:spacing w:after="40"/>
        <w:ind w:left="0"/>
      </w:pPr>
      <w:r>
        <w:t>Overbuilding auto-apply or browser automation before safe review controls exist</w:t>
      </w:r>
    </w:p>
    <w:p>
      <w:pPr>
        <w:pStyle w:val="ListBullet"/>
        <w:spacing w:after="40"/>
        <w:ind w:left="0"/>
      </w:pPr>
      <w:r>
        <w:t>Measuring only content generation and not actual workflow or outcome improvement</w:t>
      </w:r>
    </w:p>
    <w:p>
      <w:pPr>
        <w:pStyle w:val="ListBullet"/>
        <w:spacing w:after="40"/>
        <w:ind w:left="0"/>
      </w:pPr>
      <w:r>
        <w:t>Staying feature-rich but under-instrumented</w:t>
      </w:r>
    </w:p>
    <w:p>
      <w:pPr>
        <w:pStyle w:val="Heading1"/>
      </w:pPr>
      <w:r>
        <w:t>16. What to avoid</w:t>
      </w:r>
    </w:p>
    <w:p>
      <w:pPr>
        <w:pStyle w:val="ListBullet"/>
        <w:spacing w:after="40"/>
        <w:ind w:left="0"/>
      </w:pPr>
      <w:r>
        <w:t>Do not position as just another resume writer</w:t>
      </w:r>
    </w:p>
    <w:p>
      <w:pPr>
        <w:pStyle w:val="ListBullet"/>
        <w:spacing w:after="40"/>
        <w:ind w:left="0"/>
      </w:pPr>
      <w:r>
        <w:t>Do not encourage fake experience or inflated claims</w:t>
      </w:r>
    </w:p>
    <w:p>
      <w:pPr>
        <w:pStyle w:val="ListBullet"/>
        <w:spacing w:after="40"/>
        <w:ind w:left="0"/>
      </w:pPr>
      <w:r>
        <w:t>Do not force users to understand credits before they understand value</w:t>
      </w:r>
    </w:p>
    <w:p>
      <w:pPr>
        <w:pStyle w:val="ListBullet"/>
        <w:spacing w:after="40"/>
        <w:ind w:left="0"/>
      </w:pPr>
      <w:r>
        <w:t>Do not let the tracker remain a passive database instead of an active workflow engine</w:t>
      </w:r>
    </w:p>
    <w:p>
      <w:pPr>
        <w:pStyle w:val="ListBullet"/>
        <w:spacing w:after="40"/>
        <w:ind w:left="0"/>
      </w:pPr>
      <w:r>
        <w:t>Do not add B2B complexity before the consumer loop is strong</w:t>
      </w:r>
    </w:p>
    <w:p>
      <w:pPr>
        <w:pStyle w:val="Heading1"/>
      </w:pPr>
      <w:r>
        <w:t>17. 12-month product direction</w:t>
      </w:r>
    </w:p>
    <w:tbl>
      <w:tblPr>
        <w:tblStyle w:val="TableGrid"/>
        <w:tblW w:type="auto" w:w="0"/>
        <w:jc w:val="center"/>
        <w:tblLayout w:type="fixed"/>
        <w:tblLook w:firstColumn="1" w:firstRow="1" w:lastColumn="0" w:lastRow="0" w:noHBand="0" w:noVBand="1" w:val="04A0"/>
      </w:tblPr>
      <w:tblGrid>
        <w:gridCol w:w="3312"/>
        <w:gridCol w:w="3312"/>
        <w:gridCol w:w="3312"/>
      </w:tblGrid>
      <w:tr>
        <w:tc>
          <w:tcPr>
            <w:tcW w:type="dxa" w:w="1728"/>
            <w:shd w:fill="D9EAF7"/>
            <w:vAlign w:val="center"/>
          </w:tcPr>
          <w:p>
            <w:pPr>
              <w:spacing w:after="0"/>
            </w:pPr>
            <w:r/>
            <w:r>
              <w:rPr>
                <w:b/>
                <w:sz w:val="19"/>
              </w:rPr>
              <w:t>Phase</w:t>
            </w:r>
          </w:p>
        </w:tc>
        <w:tc>
          <w:tcPr>
            <w:tcW w:type="dxa" w:w="3744"/>
            <w:shd w:fill="D9EAF7"/>
            <w:vAlign w:val="center"/>
          </w:tcPr>
          <w:p>
            <w:pPr>
              <w:spacing w:after="0"/>
            </w:pPr>
            <w:r/>
            <w:r>
              <w:rPr>
                <w:b/>
                <w:sz w:val="19"/>
              </w:rPr>
              <w:t>Focus</w:t>
            </w:r>
          </w:p>
        </w:tc>
        <w:tc>
          <w:tcPr>
            <w:tcW w:type="dxa" w:w="4320"/>
            <w:shd w:fill="D9EAF7"/>
            <w:vAlign w:val="center"/>
          </w:tcPr>
          <w:p>
            <w:pPr>
              <w:spacing w:after="0"/>
            </w:pPr>
            <w:r/>
            <w:r>
              <w:rPr>
                <w:b/>
                <w:sz w:val="19"/>
              </w:rPr>
              <w:t>Expected result</w:t>
            </w:r>
          </w:p>
        </w:tc>
      </w:tr>
      <w:tr>
        <w:tc>
          <w:tcPr>
            <w:tcW w:type="dxa" w:w="1728"/>
            <w:vAlign w:val="center"/>
          </w:tcPr>
          <w:p>
            <w:pPr>
              <w:spacing w:after="0"/>
            </w:pPr>
            <w:r/>
            <w:r>
              <w:rPr>
                <w:b w:val="0"/>
                <w:sz w:val="19"/>
              </w:rPr>
              <w:t>0-3 months</w:t>
            </w:r>
          </w:p>
        </w:tc>
        <w:tc>
          <w:tcPr>
            <w:tcW w:type="dxa" w:w="3744"/>
            <w:vAlign w:val="center"/>
          </w:tcPr>
          <w:p>
            <w:pPr>
              <w:spacing w:after="0"/>
            </w:pPr>
            <w:r/>
            <w:r>
              <w:rPr>
                <w:b w:val="0"/>
                <w:sz w:val="19"/>
              </w:rPr>
              <w:t>Trust + activation + grounded tailoring</w:t>
            </w:r>
          </w:p>
        </w:tc>
        <w:tc>
          <w:tcPr>
            <w:tcW w:type="dxa" w:w="4320"/>
            <w:vAlign w:val="center"/>
          </w:tcPr>
          <w:p>
            <w:pPr>
              <w:spacing w:after="0"/>
            </w:pPr>
            <w:r/>
            <w:r>
              <w:rPr>
                <w:b w:val="0"/>
                <w:sz w:val="19"/>
              </w:rPr>
              <w:t>Reliable core workflow and cleaner demoability</w:t>
            </w:r>
          </w:p>
        </w:tc>
      </w:tr>
      <w:tr>
        <w:tc>
          <w:tcPr>
            <w:tcW w:type="dxa" w:w="1728"/>
            <w:vAlign w:val="center"/>
          </w:tcPr>
          <w:p>
            <w:pPr>
              <w:spacing w:after="0"/>
            </w:pPr>
            <w:r/>
            <w:r>
              <w:rPr>
                <w:b w:val="0"/>
                <w:sz w:val="19"/>
              </w:rPr>
              <w:t>3-6 months</w:t>
            </w:r>
          </w:p>
        </w:tc>
        <w:tc>
          <w:tcPr>
            <w:tcW w:type="dxa" w:w="3744"/>
            <w:vAlign w:val="center"/>
          </w:tcPr>
          <w:p>
            <w:pPr>
              <w:spacing w:after="0"/>
            </w:pPr>
            <w:r/>
            <w:r>
              <w:rPr>
                <w:b w:val="0"/>
                <w:sz w:val="19"/>
              </w:rPr>
              <w:t>Memory + decisioning + retention loops</w:t>
            </w:r>
          </w:p>
        </w:tc>
        <w:tc>
          <w:tcPr>
            <w:tcW w:type="dxa" w:w="4320"/>
            <w:vAlign w:val="center"/>
          </w:tcPr>
          <w:p>
            <w:pPr>
              <w:spacing w:after="0"/>
            </w:pPr>
            <w:r/>
            <w:r>
              <w:rPr>
                <w:b w:val="0"/>
                <w:sz w:val="19"/>
              </w:rPr>
              <w:t>Users return weekly; stronger product identity</w:t>
            </w:r>
          </w:p>
        </w:tc>
      </w:tr>
      <w:tr>
        <w:tc>
          <w:tcPr>
            <w:tcW w:type="dxa" w:w="1728"/>
            <w:vAlign w:val="center"/>
          </w:tcPr>
          <w:p>
            <w:pPr>
              <w:spacing w:after="0"/>
            </w:pPr>
            <w:r/>
            <w:r>
              <w:rPr>
                <w:b w:val="0"/>
                <w:sz w:val="19"/>
              </w:rPr>
              <w:t>6-9 months</w:t>
            </w:r>
          </w:p>
        </w:tc>
        <w:tc>
          <w:tcPr>
            <w:tcW w:type="dxa" w:w="3744"/>
            <w:vAlign w:val="center"/>
          </w:tcPr>
          <w:p>
            <w:pPr>
              <w:spacing w:after="0"/>
            </w:pPr>
            <w:r/>
            <w:r>
              <w:rPr>
                <w:b w:val="0"/>
                <w:sz w:val="19"/>
              </w:rPr>
              <w:t>Extension + CRM + interview stack</w:t>
            </w:r>
          </w:p>
        </w:tc>
        <w:tc>
          <w:tcPr>
            <w:tcW w:type="dxa" w:w="4320"/>
            <w:vAlign w:val="center"/>
          </w:tcPr>
          <w:p>
            <w:pPr>
              <w:spacing w:after="0"/>
            </w:pPr>
            <w:r/>
            <w:r>
              <w:rPr>
                <w:b w:val="0"/>
                <w:sz w:val="19"/>
              </w:rPr>
              <w:t>Candidate operating system starts to emerge</w:t>
            </w:r>
          </w:p>
        </w:tc>
      </w:tr>
      <w:tr>
        <w:tc>
          <w:tcPr>
            <w:tcW w:type="dxa" w:w="1728"/>
            <w:vAlign w:val="center"/>
          </w:tcPr>
          <w:p>
            <w:pPr>
              <w:spacing w:after="0"/>
            </w:pPr>
            <w:r/>
            <w:r>
              <w:rPr>
                <w:b w:val="0"/>
                <w:sz w:val="19"/>
              </w:rPr>
              <w:t>9-12 months</w:t>
            </w:r>
          </w:p>
        </w:tc>
        <w:tc>
          <w:tcPr>
            <w:tcW w:type="dxa" w:w="3744"/>
            <w:vAlign w:val="center"/>
          </w:tcPr>
          <w:p>
            <w:pPr>
              <w:spacing w:after="0"/>
            </w:pPr>
            <w:r/>
            <w:r>
              <w:rPr>
                <w:b w:val="0"/>
                <w:sz w:val="19"/>
              </w:rPr>
              <w:t>Outcome learning + benchmarking + early B2B</w:t>
            </w:r>
          </w:p>
        </w:tc>
        <w:tc>
          <w:tcPr>
            <w:tcW w:type="dxa" w:w="4320"/>
            <w:vAlign w:val="center"/>
          </w:tcPr>
          <w:p>
            <w:pPr>
              <w:spacing w:after="0"/>
            </w:pPr>
            <w:r/>
            <w:r>
              <w:rPr>
                <w:b w:val="0"/>
                <w:sz w:val="19"/>
              </w:rPr>
              <w:t>Defensibility and new revenue layers</w:t>
            </w:r>
          </w:p>
        </w:tc>
      </w:tr>
    </w:tbl>
    <w:p/>
    <w:p>
      <w:pPr>
        <w:pStyle w:val="Heading1"/>
      </w:pPr>
      <w:r>
        <w:t>18. Highest-leverage next move</w:t>
      </w:r>
    </w:p>
    <w:tbl>
      <w:tblPr>
        <w:tblW w:type="auto" w:w="0"/>
        <w:jc w:val="center"/>
        <w:tblLayout w:type="autofit"/>
        <w:tblLook w:firstColumn="1" w:firstRow="1" w:lastColumn="0" w:lastRow="0" w:noHBand="0" w:noVBand="1" w:val="04A0"/>
      </w:tblPr>
      <w:tblGrid>
        <w:gridCol w:w="9936"/>
      </w:tblGrid>
      <w:tr>
        <w:tc>
          <w:tcPr>
            <w:tcW w:type="dxa" w:w="9936"/>
            <w:shd w:fill="EEF5FB"/>
          </w:tcPr>
          <w:p>
            <w:pPr>
              <w:spacing w:after="40"/>
            </w:pPr>
            <w:r>
              <w:rPr>
                <w:b/>
                <w:color w:val="1F4E79"/>
              </w:rPr>
              <w:t>Recommendation</w:t>
            </w:r>
          </w:p>
          <w:p>
            <w:pPr>
              <w:spacing w:after="0"/>
            </w:pPr>
            <w:r>
              <w:t>Build the evidence-backed career memory layer first, then route job fit, tailoring, tracking, and interview prep through it. That is the move that turns CVScan from a bundle of features into a system.</w:t>
            </w:r>
          </w:p>
        </w:tc>
      </w:tr>
    </w:tbl>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w:hAnsi="Apto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3F3F3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