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 xml:space="preserve">Language Detector </w:t>
      </w:r>
      <w:r>
        <w:rPr>
          <w:rFonts w:hint="default"/>
          <w:sz w:val="36"/>
          <w:szCs w:val="36"/>
          <w:lang w:eastAsia="zh-CN"/>
        </w:rPr>
        <w:t>demo</w:t>
      </w:r>
    </w:p>
    <w:p>
      <w:pPr>
        <w:pStyle w:val="9"/>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5"/>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9"/>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"mailto:hongliang.liu@thundersoft.com" </w:instrText>
            </w:r>
            <w:r>
              <w:rPr>
                <w:rFonts w:hint="eastAsia" w:ascii="Times New Roman" w:hAnsi="Times New Roman" w:eastAsia="宋体" w:cs="Times New Roman"/>
              </w:rPr>
              <w:fldChar w:fldCharType="separate"/>
            </w:r>
            <w:r>
              <w:rPr>
                <w:rStyle w:val="19"/>
                <w:rFonts w:hint="eastAsia" w:ascii="Times New Roman" w:hAnsi="Times New Roman" w:eastAsia="宋体" w:cs="Times New Roman"/>
                <w:lang w:val="en-US" w:eastAsia="zh-CN"/>
              </w:rPr>
              <w:t>siyuan.he</w:t>
            </w:r>
            <w:r>
              <w:rPr>
                <w:rStyle w:val="19"/>
                <w:rFonts w:hint="eastAsia" w:ascii="Times New Roman" w:hAnsi="Times New Roman" w:eastAsia="宋体" w:cs="Times New Roman"/>
              </w:rPr>
              <w:t>@thundersoft.com</w:t>
            </w:r>
            <w:r>
              <w:rPr>
                <w:rFonts w:hint="eastAsia" w:ascii="Times New Roman" w:hAnsi="Times New Roman" w:eastAsia="宋体" w:cs="Times New Roman"/>
              </w:rPr>
              <w:fldChar w:fldCharType="end"/>
            </w:r>
          </w:p>
          <w:p>
            <w:pPr>
              <w:spacing w:after="0" w:line="240" w:lineRule="auto"/>
              <w:rPr>
                <w:rFonts w:eastAsia="宋体"/>
                <w:color w:val="7030A0"/>
                <w:lang w:eastAsia="zh-C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"mailto:qingbo.gao@thundersoft.com" </w:instrText>
            </w:r>
            <w:r>
              <w:rPr>
                <w:rFonts w:hint="eastAsia" w:ascii="Times New Roman" w:hAnsi="Times New Roman" w:eastAsia="宋体" w:cs="Times New Roman"/>
              </w:rPr>
              <w:fldChar w:fldCharType="separate"/>
            </w:r>
            <w:r>
              <w:rPr>
                <w:rStyle w:val="19"/>
                <w:rFonts w:hint="eastAsia" w:ascii="Times New Roman" w:hAnsi="Times New Roman" w:eastAsia="宋体" w:cs="Times New Roman"/>
              </w:rPr>
              <w:t>qingbo.gao@thundersoft.com</w:t>
            </w:r>
            <w:r>
              <w:rPr>
                <w:rFonts w:hint="eastAsia"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微软雅黑"/>
                <w:b/>
                <w:lang w:val="en-US" w:eastAsia="zh-CN"/>
              </w:rPr>
            </w:pPr>
            <w:r>
              <w:rPr>
                <w:rFonts w:hint="default" w:ascii="Times New Roman" w:hAnsi="Times New Roman" w:eastAsia="宋体" w:cs="Times New Roman"/>
                <w:lang w:val="en-US" w:eastAsia="zh-CN"/>
              </w:rPr>
              <w:t>Language Detector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ascii="Times New Roman" w:hAnsi="Times New Roman" w:eastAsia="宋体" w:cs="Times New Roman"/>
                <w:lang w:val="en-US" w:eastAsia="zh-CN"/>
              </w:rPr>
              <w:t>Language Detector</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keepNext w:val="0"/>
              <w:keepLines w:val="0"/>
              <w:widowControl/>
              <w:suppressLineNumbers w:val="0"/>
              <w:jc w:val="left"/>
            </w:pP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b/>
                <w:bCs/>
                <w:lang w:eastAsia="zh-CN"/>
              </w:rPr>
            </w:pPr>
            <w:r>
              <w:rPr>
                <w:rFonts w:hint="eastAsia"/>
                <w:b/>
                <w:bCs/>
                <w:lang w:val="en-US" w:eastAsia="zh-CN"/>
              </w:rPr>
              <w:t>C</w:t>
            </w:r>
            <w:r>
              <w:rPr>
                <w:rFonts w:hint="eastAsia"/>
                <w:b/>
                <w:bCs/>
                <w:lang w:eastAsia="zh-CN"/>
              </w:rPr>
              <w:t>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7"/>
              <w:rPr>
                <w:rFonts w:hint="default"/>
                <w:lang w:val="en-US"/>
              </w:rPr>
            </w:pPr>
            <w:r>
              <w:rPr>
                <w:rFonts w:hint="default"/>
                <w:lang w:val="en-US"/>
              </w:rPr>
              <w:t>The project builds and runs the source code of the cm2290 development kit system on the cm2290 development board, making full use of the diversity of the development kit and its powerful connection and computing capabilities. Language-detection, which can detect the national language of a string, will accept the text of the input field and classify it as a detected language based on the confidence score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1"/>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1"/>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CM2290 development board can be used for Image  embedder , The model can detect the national language of the text to which it belongs. Now many terminal scenarios need to identify what language certain strings belong to, and language identification is also very useful in automated testing. Some products need to be sold overseas, so international adaptation is especially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bookmarkStart w:id="0" w:name="_GoBack"/>
            <w:bookmarkEnd w:id="0"/>
          </w:p>
        </w:tc>
        <w:tc>
          <w:tcPr>
            <w:tcW w:w="5043" w:type="dxa"/>
            <w:shd w:val="clear" w:color="auto" w:fill="FFFFFF" w:themeFill="background1"/>
          </w:tcPr>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eastAsia="zh-CN"/>
              </w:rPr>
            </w:pPr>
            <w:r>
              <w:rPr>
                <w:rFonts w:hint="default" w:cs="Times New Roman"/>
                <w:lang w:val="en-US" w:eastAsia="en-US"/>
              </w:rPr>
              <w:t>https://github.com/ThunderSoft-XA/CM2290-Language</w:t>
            </w:r>
            <w:r>
              <w:rPr>
                <w:rFonts w:hint="default" w:cs="Times New Roman"/>
                <w:lang w:val="en-US" w:eastAsia="zh-CN"/>
              </w:rPr>
              <w:t>-</w:t>
            </w:r>
            <w:r>
              <w:rPr>
                <w:rFonts w:hint="default" w:cs="Times New Roman"/>
                <w:lang w:val="en-US" w:eastAsia="en-US"/>
              </w:rPr>
              <w:t>Detector</w:t>
            </w:r>
            <w:r>
              <w:rPr>
                <w:rFonts w:hint="default" w:cs="Times New Roman"/>
                <w:lang w:val="en-US" w:eastAsia="zh-CN"/>
              </w:rPr>
              <w:t>-demo</w:t>
            </w:r>
          </w:p>
          <w:p>
            <w:pPr>
              <w:spacing w:after="0" w:line="240" w:lineRule="auto"/>
              <w:rPr>
                <w:rFonts w:hint="default"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5"/>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1"/>
              <w:numPr>
                <w:ilvl w:val="0"/>
                <w:numId w:val="2"/>
              </w:numPr>
              <w:spacing w:after="0" w:line="240" w:lineRule="auto"/>
              <w:ind w:left="0" w:leftChars="0" w:firstLine="440" w:firstLineChars="200"/>
              <w:rPr>
                <w:rFonts w:hint="eastAsia"/>
              </w:rPr>
            </w:pPr>
            <w:r>
              <w:rPr>
                <w:rFonts w:hint="eastAsia"/>
              </w:rPr>
              <w:t>Open Android Studio. From the Welcome screen, select Open an existing Android Studio project.</w:t>
            </w:r>
          </w:p>
          <w:p>
            <w:pPr>
              <w:pStyle w:val="21"/>
              <w:numPr>
                <w:ilvl w:val="0"/>
                <w:numId w:val="2"/>
              </w:numPr>
              <w:spacing w:after="0" w:line="240" w:lineRule="auto"/>
              <w:ind w:left="0" w:leftChars="0" w:firstLine="440" w:firstLineChars="200"/>
              <w:rPr>
                <w:rFonts w:hint="eastAsia"/>
              </w:rPr>
            </w:pPr>
            <w:r>
              <w:rPr>
                <w:rFonts w:hint="eastAsia"/>
              </w:rPr>
              <w:t>From the Open File or Project window that appears, navigate to and select the text_embedder/android directory. Click OK. You may be asked if you trust the project. Select Trust.</w:t>
            </w:r>
          </w:p>
          <w:p>
            <w:pPr>
              <w:pStyle w:val="21"/>
              <w:numPr>
                <w:ilvl w:val="0"/>
                <w:numId w:val="2"/>
              </w:numPr>
              <w:spacing w:after="0" w:line="240" w:lineRule="auto"/>
              <w:ind w:left="0" w:leftChars="0" w:firstLine="440" w:firstLineChars="200"/>
              <w:rPr>
                <w:rFonts w:hint="eastAsia"/>
              </w:rPr>
            </w:pPr>
            <w:r>
              <w:rPr>
                <w:rFonts w:hint="eastAsia"/>
              </w:rPr>
              <w:t>If it asks you to do a Gradle Sync, click OK.</w:t>
            </w:r>
          </w:p>
          <w:p>
            <w:pPr>
              <w:pStyle w:val="21"/>
              <w:numPr>
                <w:ilvl w:val="0"/>
                <w:numId w:val="2"/>
              </w:numPr>
              <w:spacing w:after="0" w:line="240" w:lineRule="auto"/>
              <w:ind w:left="0" w:leftChars="0" w:firstLine="440" w:firstLineChars="200"/>
            </w:pPr>
            <w:r>
              <w:rPr>
                <w:rFonts w:hint="eastAsia"/>
              </w:rPr>
              <w:t>With your Android device connected to your computer and developer mode enabled, click on the green Run arrow in Android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21"/>
              <w:numPr>
                <w:ilvl w:val="0"/>
                <w:numId w:val="3"/>
              </w:numPr>
              <w:spacing w:after="0" w:line="240" w:lineRule="auto"/>
            </w:pPr>
            <w:r>
              <w:t>How does it work?</w:t>
            </w:r>
          </w:p>
          <w:p>
            <w:pPr>
              <w:rPr>
                <w:rFonts w:hint="eastAsia"/>
                <w:lang w:val="en" w:eastAsia="zh-CN"/>
              </w:rPr>
            </w:pPr>
            <w:r>
              <w:rPr>
                <w:rFonts w:hint="eastAsia"/>
                <w:lang w:val="en" w:eastAsia="zh-CN"/>
              </w:rPr>
              <w:t>Image embedders allow embedding images into a high-dimensional feature vector representing the semantic meaning of an image, which can then be compared with the feature vector of other images to evaluate their semantic similarity.</w:t>
            </w:r>
          </w:p>
          <w:p>
            <w:pPr>
              <w:rPr>
                <w:rFonts w:hint="eastAsia"/>
                <w:lang w:val="en" w:eastAsia="zh-CN"/>
              </w:rPr>
            </w:pPr>
            <w:r>
              <w:rPr>
                <w:rFonts w:hint="eastAsia"/>
                <w:lang w:val="en" w:eastAsia="zh-CN"/>
              </w:rPr>
              <w:t>Cosine similarity between normalized feature vectors return a score between -1 and 1. Higher is better, i.e. a cosine similarity of 1 means the two vectors are identical.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1549400" cy="3359150"/>
                  <wp:effectExtent l="0" t="0" r="12700" b="12700"/>
                  <wp:docPr id="1" name="图片 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
                          <pic:cNvPicPr>
                            <a:picLocks noChangeAspect="1"/>
                          </pic:cNvPicPr>
                        </pic:nvPicPr>
                        <pic:blipFill>
                          <a:blip r:embed="rId9"/>
                          <a:stretch>
                            <a:fillRect/>
                          </a:stretch>
                        </pic:blipFill>
                        <pic:spPr>
                          <a:xfrm>
                            <a:off x="0" y="0"/>
                            <a:ext cx="1549400" cy="3359150"/>
                          </a:xfrm>
                          <a:prstGeom prst="rect">
                            <a:avLst/>
                          </a:prstGeom>
                        </pic:spPr>
                      </pic:pic>
                    </a:graphicData>
                  </a:graphic>
                </wp:inline>
              </w:drawing>
            </w:r>
            <w:r>
              <w:rPr>
                <w:rFonts w:hint="default"/>
                <w:lang w:val="en-US" w:eastAsia="zh-CN"/>
              </w:rPr>
              <w:drawing>
                <wp:inline distT="0" distB="0" distL="114300" distR="114300">
                  <wp:extent cx="1551940" cy="3362960"/>
                  <wp:effectExtent l="0" t="0" r="10160" b="8890"/>
                  <wp:docPr id="3" name="图片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
                          <pic:cNvPicPr>
                            <a:picLocks noChangeAspect="1"/>
                          </pic:cNvPicPr>
                        </pic:nvPicPr>
                        <pic:blipFill>
                          <a:blip r:embed="rId10"/>
                          <a:stretch>
                            <a:fillRect/>
                          </a:stretch>
                        </pic:blipFill>
                        <pic:spPr>
                          <a:xfrm>
                            <a:off x="0" y="0"/>
                            <a:ext cx="1551940" cy="3362960"/>
                          </a:xfrm>
                          <a:prstGeom prst="rect">
                            <a:avLst/>
                          </a:prstGeom>
                        </pic:spPr>
                      </pic:pic>
                    </a:graphicData>
                  </a:graphic>
                </wp:inline>
              </w:drawing>
            </w:r>
            <w:r>
              <w:rPr>
                <w:rFonts w:hint="default"/>
                <w:lang w:val="en-US" w:eastAsia="zh-CN"/>
              </w:rPr>
              <w:drawing>
                <wp:inline distT="0" distB="0" distL="114300" distR="114300">
                  <wp:extent cx="1552575" cy="3364230"/>
                  <wp:effectExtent l="0" t="0" r="9525" b="7620"/>
                  <wp:docPr id="4" name="图片 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3"/>
                          <pic:cNvPicPr>
                            <a:picLocks noChangeAspect="1"/>
                          </pic:cNvPicPr>
                        </pic:nvPicPr>
                        <pic:blipFill>
                          <a:blip r:embed="rId11"/>
                          <a:stretch>
                            <a:fillRect/>
                          </a:stretch>
                        </pic:blipFill>
                        <pic:spPr>
                          <a:xfrm>
                            <a:off x="0" y="0"/>
                            <a:ext cx="1552575" cy="3364230"/>
                          </a:xfrm>
                          <a:prstGeom prst="rect">
                            <a:avLst/>
                          </a:prstGeom>
                        </pic:spPr>
                      </pic:pic>
                    </a:graphicData>
                  </a:graphic>
                </wp:inline>
              </w:drawing>
            </w: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2"/>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5"/>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2785724"/>
    <w:rsid w:val="03B58F32"/>
    <w:rsid w:val="045E22E0"/>
    <w:rsid w:val="04D550AF"/>
    <w:rsid w:val="05895A56"/>
    <w:rsid w:val="060C68AF"/>
    <w:rsid w:val="06A765D7"/>
    <w:rsid w:val="06F21F49"/>
    <w:rsid w:val="0B3A3EBE"/>
    <w:rsid w:val="0B7E024F"/>
    <w:rsid w:val="0BFE174A"/>
    <w:rsid w:val="0BFFE3AA"/>
    <w:rsid w:val="0E4F5ED2"/>
    <w:rsid w:val="0F175F81"/>
    <w:rsid w:val="0F287FF9"/>
    <w:rsid w:val="0F98CF3E"/>
    <w:rsid w:val="0FFBB1C7"/>
    <w:rsid w:val="107B44B9"/>
    <w:rsid w:val="119273F3"/>
    <w:rsid w:val="11A26319"/>
    <w:rsid w:val="12368B4D"/>
    <w:rsid w:val="15DD3C71"/>
    <w:rsid w:val="16CF3F74"/>
    <w:rsid w:val="17D72727"/>
    <w:rsid w:val="18F97167"/>
    <w:rsid w:val="19A759B5"/>
    <w:rsid w:val="19BB266E"/>
    <w:rsid w:val="19FE0430"/>
    <w:rsid w:val="1BCFACAF"/>
    <w:rsid w:val="1BECFE7A"/>
    <w:rsid w:val="1C0456E6"/>
    <w:rsid w:val="1C192C42"/>
    <w:rsid w:val="1C3815D2"/>
    <w:rsid w:val="1CA83F03"/>
    <w:rsid w:val="1DFFD272"/>
    <w:rsid w:val="1E1F594C"/>
    <w:rsid w:val="1E3B2E70"/>
    <w:rsid w:val="1E7C3DC5"/>
    <w:rsid w:val="1F5E5F75"/>
    <w:rsid w:val="1FAF0F7C"/>
    <w:rsid w:val="1FEB34A8"/>
    <w:rsid w:val="1FED1DA4"/>
    <w:rsid w:val="21EB1616"/>
    <w:rsid w:val="22433200"/>
    <w:rsid w:val="231C2B3E"/>
    <w:rsid w:val="23D9206E"/>
    <w:rsid w:val="24A85EE5"/>
    <w:rsid w:val="25D8136F"/>
    <w:rsid w:val="273B2CB3"/>
    <w:rsid w:val="276BC407"/>
    <w:rsid w:val="27741FC4"/>
    <w:rsid w:val="27E13808"/>
    <w:rsid w:val="27FBD0B3"/>
    <w:rsid w:val="29635FA5"/>
    <w:rsid w:val="298E56A9"/>
    <w:rsid w:val="299F78B6"/>
    <w:rsid w:val="2AB47391"/>
    <w:rsid w:val="2BFF880E"/>
    <w:rsid w:val="2D6BD420"/>
    <w:rsid w:val="2E8157DC"/>
    <w:rsid w:val="2EB37960"/>
    <w:rsid w:val="2EFD4E45"/>
    <w:rsid w:val="2F7CCF59"/>
    <w:rsid w:val="2FEADFF0"/>
    <w:rsid w:val="2FED249D"/>
    <w:rsid w:val="2FEE68A0"/>
    <w:rsid w:val="2FEF6082"/>
    <w:rsid w:val="2FF770D5"/>
    <w:rsid w:val="33167B7E"/>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A5D3D98"/>
    <w:rsid w:val="3AB40624"/>
    <w:rsid w:val="3BA852E4"/>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49D27EC"/>
    <w:rsid w:val="45507134"/>
    <w:rsid w:val="45C37AE5"/>
    <w:rsid w:val="45F35D4A"/>
    <w:rsid w:val="46E93AC7"/>
    <w:rsid w:val="47766ACE"/>
    <w:rsid w:val="4A873D23"/>
    <w:rsid w:val="4AD7DC97"/>
    <w:rsid w:val="4B3774F7"/>
    <w:rsid w:val="4BBB924B"/>
    <w:rsid w:val="4BD42F98"/>
    <w:rsid w:val="4BFA8AE7"/>
    <w:rsid w:val="4CDC5645"/>
    <w:rsid w:val="4D3F6ADB"/>
    <w:rsid w:val="4E141D71"/>
    <w:rsid w:val="4E54216E"/>
    <w:rsid w:val="4EE681E3"/>
    <w:rsid w:val="4EF6CC5D"/>
    <w:rsid w:val="4EFF96C3"/>
    <w:rsid w:val="4F8F35F6"/>
    <w:rsid w:val="4FE6A73A"/>
    <w:rsid w:val="4FFD1849"/>
    <w:rsid w:val="526B5CD8"/>
    <w:rsid w:val="52B7775F"/>
    <w:rsid w:val="53BFEDC2"/>
    <w:rsid w:val="53DBC94B"/>
    <w:rsid w:val="54573FD5"/>
    <w:rsid w:val="55D608C7"/>
    <w:rsid w:val="567463DA"/>
    <w:rsid w:val="569B73E5"/>
    <w:rsid w:val="57E695A1"/>
    <w:rsid w:val="57EF49E5"/>
    <w:rsid w:val="57F791C8"/>
    <w:rsid w:val="57FF4C66"/>
    <w:rsid w:val="59B17147"/>
    <w:rsid w:val="5A75F8B5"/>
    <w:rsid w:val="5AAF740A"/>
    <w:rsid w:val="5BBEF647"/>
    <w:rsid w:val="5BBFA424"/>
    <w:rsid w:val="5BDA0306"/>
    <w:rsid w:val="5BDFBBD5"/>
    <w:rsid w:val="5BF5158F"/>
    <w:rsid w:val="5CBC3D00"/>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51D7306"/>
    <w:rsid w:val="66E2D2BC"/>
    <w:rsid w:val="66FBC8D0"/>
    <w:rsid w:val="67860E2D"/>
    <w:rsid w:val="6A6D6639"/>
    <w:rsid w:val="6AEFFE84"/>
    <w:rsid w:val="6AFFD526"/>
    <w:rsid w:val="6B325A53"/>
    <w:rsid w:val="6B3D38C5"/>
    <w:rsid w:val="6B5477F9"/>
    <w:rsid w:val="6B8C09AC"/>
    <w:rsid w:val="6BFFB1CF"/>
    <w:rsid w:val="6C2E004A"/>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5C4A0A"/>
    <w:rsid w:val="70903082"/>
    <w:rsid w:val="70E707C8"/>
    <w:rsid w:val="713F23B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217EF"/>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0"/>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7"/>
    <w:basedOn w:val="1"/>
    <w:next w:val="1"/>
    <w:unhideWhenUsed/>
    <w:qFormat/>
    <w:uiPriority w:val="0"/>
    <w:pPr>
      <w:keepNext/>
      <w:keepLines/>
      <w:spacing w:before="240" w:after="64" w:line="317" w:lineRule="auto"/>
      <w:outlineLvl w:val="6"/>
    </w:pPr>
    <w:rPr>
      <w:b/>
      <w:sz w:val="24"/>
    </w:rPr>
  </w:style>
  <w:style w:type="character" w:default="1" w:styleId="17">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2"/>
    <w:semiHidden/>
    <w:unhideWhenUsed/>
    <w:qFormat/>
    <w:uiPriority w:val="99"/>
    <w:pPr>
      <w:spacing w:line="240" w:lineRule="auto"/>
    </w:pPr>
    <w:rPr>
      <w:sz w:val="20"/>
      <w:szCs w:val="20"/>
    </w:rPr>
  </w:style>
  <w:style w:type="paragraph" w:styleId="7">
    <w:name w:val="Plain Text"/>
    <w:basedOn w:val="1"/>
    <w:link w:val="27"/>
    <w:unhideWhenUsed/>
    <w:qFormat/>
    <w:uiPriority w:val="99"/>
    <w:pPr>
      <w:spacing w:after="0" w:line="240" w:lineRule="auto"/>
    </w:pPr>
    <w:rPr>
      <w:rFonts w:ascii="Calibri" w:hAnsi="Calibri"/>
      <w:szCs w:val="21"/>
    </w:rPr>
  </w:style>
  <w:style w:type="paragraph" w:styleId="8">
    <w:name w:val="Balloon Text"/>
    <w:basedOn w:val="1"/>
    <w:link w:val="24"/>
    <w:semiHidden/>
    <w:unhideWhenUsed/>
    <w:qFormat/>
    <w:uiPriority w:val="99"/>
    <w:pPr>
      <w:spacing w:after="0" w:line="240" w:lineRule="auto"/>
    </w:pPr>
    <w:rPr>
      <w:rFonts w:ascii="Segoe UI" w:hAnsi="Segoe UI" w:cs="Segoe UI"/>
      <w:sz w:val="18"/>
      <w:szCs w:val="18"/>
    </w:rPr>
  </w:style>
  <w:style w:type="paragraph" w:styleId="9">
    <w:name w:val="Subtitle"/>
    <w:basedOn w:val="1"/>
    <w:next w:val="1"/>
    <w:link w:val="2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Times New Roman"/>
      <w:sz w:val="24"/>
      <w:szCs w:val="24"/>
      <w:lang w:val="en-US" w:eastAsia="zh-CN" w:bidi="ar-SA"/>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6"/>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3">
    <w:name w:val="annotation subject"/>
    <w:basedOn w:val="6"/>
    <w:next w:val="6"/>
    <w:link w:val="23"/>
    <w:semiHidden/>
    <w:unhideWhenUsed/>
    <w:qFormat/>
    <w:uiPriority w:val="99"/>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6">
    <w:name w:val="Light List Accent 1"/>
    <w:basedOn w:val="14"/>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8">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annotation reference"/>
    <w:basedOn w:val="17"/>
    <w:semiHidden/>
    <w:unhideWhenUsed/>
    <w:qFormat/>
    <w:uiPriority w:val="99"/>
    <w:rPr>
      <w:sz w:val="16"/>
      <w:szCs w:val="16"/>
    </w:rPr>
  </w:style>
  <w:style w:type="paragraph" w:styleId="21">
    <w:name w:val="List Paragraph"/>
    <w:basedOn w:val="1"/>
    <w:link w:val="25"/>
    <w:qFormat/>
    <w:uiPriority w:val="34"/>
    <w:pPr>
      <w:ind w:left="720"/>
      <w:contextualSpacing/>
    </w:pPr>
  </w:style>
  <w:style w:type="character" w:customStyle="1" w:styleId="22">
    <w:name w:val="批注文字 Char"/>
    <w:basedOn w:val="17"/>
    <w:link w:val="6"/>
    <w:semiHidden/>
    <w:qFormat/>
    <w:uiPriority w:val="99"/>
    <w:rPr>
      <w:sz w:val="20"/>
      <w:szCs w:val="20"/>
    </w:rPr>
  </w:style>
  <w:style w:type="character" w:customStyle="1" w:styleId="23">
    <w:name w:val="批注主题 Char"/>
    <w:basedOn w:val="22"/>
    <w:link w:val="13"/>
    <w:semiHidden/>
    <w:qFormat/>
    <w:uiPriority w:val="99"/>
    <w:rPr>
      <w:b/>
      <w:bCs/>
      <w:sz w:val="20"/>
      <w:szCs w:val="20"/>
    </w:rPr>
  </w:style>
  <w:style w:type="character" w:customStyle="1" w:styleId="24">
    <w:name w:val="批注框文本 Char"/>
    <w:basedOn w:val="17"/>
    <w:link w:val="8"/>
    <w:semiHidden/>
    <w:qFormat/>
    <w:uiPriority w:val="99"/>
    <w:rPr>
      <w:rFonts w:ascii="Segoe UI" w:hAnsi="Segoe UI" w:cs="Segoe UI"/>
      <w:sz w:val="18"/>
      <w:szCs w:val="18"/>
    </w:rPr>
  </w:style>
  <w:style w:type="character" w:customStyle="1" w:styleId="25">
    <w:name w:val="列出段落 Char"/>
    <w:basedOn w:val="17"/>
    <w:link w:val="21"/>
    <w:qFormat/>
    <w:locked/>
    <w:uiPriority w:val="34"/>
  </w:style>
  <w:style w:type="character" w:customStyle="1" w:styleId="26">
    <w:name w:val="标题 Char"/>
    <w:basedOn w:val="17"/>
    <w:link w:val="12"/>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7">
    <w:name w:val="纯文本 Char"/>
    <w:basedOn w:val="17"/>
    <w:link w:val="7"/>
    <w:qFormat/>
    <w:uiPriority w:val="99"/>
    <w:rPr>
      <w:rFonts w:ascii="Calibri" w:hAnsi="Calibri"/>
      <w:szCs w:val="21"/>
    </w:rPr>
  </w:style>
  <w:style w:type="character" w:customStyle="1" w:styleId="28">
    <w:name w:val="副标题 Char"/>
    <w:basedOn w:val="17"/>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9">
    <w:name w:val="normaltextrun"/>
    <w:basedOn w:val="17"/>
    <w:qFormat/>
    <w:uiPriority w:val="0"/>
  </w:style>
  <w:style w:type="character" w:customStyle="1" w:styleId="30">
    <w:name w:val="标题 1 Char"/>
    <w:basedOn w:val="17"/>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819</Words>
  <Characters>4595</Characters>
  <Lines>60</Lines>
  <Paragraphs>17</Paragraphs>
  <TotalTime>50</TotalTime>
  <ScaleCrop>false</ScaleCrop>
  <LinksUpToDate>false</LinksUpToDate>
  <CharactersWithSpaces>5472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大头</cp:lastModifiedBy>
  <cp:lastPrinted>2015-10-06T02:12:00Z</cp:lastPrinted>
  <dcterms:modified xsi:type="dcterms:W3CDTF">2023-07-27T10:28:06Z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2052-12.1.0.15120</vt:lpwstr>
  </property>
  <property fmtid="{D5CDD505-2E9C-101B-9397-08002B2CF9AE}" pid="5" name="ICV">
    <vt:lpwstr>A86E939F44974384A24A0DCB074499E9</vt:lpwstr>
  </property>
</Properties>
</file>