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ImageOCR</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bookmarkStart w:id="0" w:name="_GoBack"/>
            <w:bookmarkEnd w:id="0"/>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zhe.yan@thundersoft.com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ImageOCR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The project builds on the </w:t>
            </w:r>
            <w:r>
              <w:rPr>
                <w:rFonts w:hint="eastAsia"/>
                <w:lang w:val="en-US" w:eastAsia="zh-CN"/>
              </w:rPr>
              <w:t xml:space="preserve">QRB2210 </w:t>
            </w:r>
            <w:r>
              <w:rPr>
                <w:rFonts w:hint="default"/>
                <w:lang w:val="en-US" w:eastAsia="zh-CN"/>
              </w:rPr>
              <w:t xml:space="preserve">development kit system source code and runs on the </w:t>
            </w:r>
            <w:r>
              <w:rPr>
                <w:rFonts w:hint="eastAsia"/>
                <w:lang w:val="en-US" w:eastAsia="zh-CN"/>
              </w:rPr>
              <w:t xml:space="preserve">QRB2210 </w:t>
            </w:r>
            <w:r>
              <w:rPr>
                <w:rFonts w:hint="default"/>
                <w:lang w:val="en-US" w:eastAsia="zh-CN"/>
              </w:rPr>
              <w:t>development board, making full use of the diverse and powerful connection and computing power of the development kit. Use Opencv to load the image, perform preprocessing such as binarization and denoising of the image, and perform text recognition processing with the preprocessed image through Tesseract-OCR, and save the result as a txt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It is hoped that the text information in the picture can be identified and applied to some scenarios that need to extract the information in the picture. It is expected that the Chinese and English text information in the picture can be accurately recognized, and the text information will be output for subsequent scenes.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RB1-imageOCR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220" w:leftChars="100" w:firstLine="0" w:firstLineChars="0"/>
              <w:rPr>
                <w:rFonts w:hint="eastAsia"/>
              </w:rPr>
            </w:pPr>
            <w:r>
              <w:rPr>
                <w:rFonts w:hint="eastAsia"/>
              </w:rPr>
              <w:t>After configuring the RB1 dedicated SDK, create a cross-compilation environment.</w:t>
            </w:r>
          </w:p>
          <w:p>
            <w:pPr>
              <w:pStyle w:val="19"/>
              <w:numPr>
                <w:ilvl w:val="0"/>
                <w:numId w:val="2"/>
              </w:numPr>
              <w:spacing w:after="0" w:line="240" w:lineRule="auto"/>
              <w:ind w:left="220" w:leftChars="100" w:firstLine="0" w:firstLineChars="0"/>
              <w:rPr>
                <w:rFonts w:hint="eastAsia"/>
              </w:rPr>
            </w:pPr>
            <w:r>
              <w:rPr>
                <w:rFonts w:hint="eastAsia"/>
              </w:rPr>
              <w:t>In the cross-compilation environment, configure the third-party library environment required by TesserAct, such as Leptonica, Libgif, Libjpeg, Lippng, Littiff, Zlib, etc.</w:t>
            </w:r>
          </w:p>
          <w:p>
            <w:pPr>
              <w:pStyle w:val="19"/>
              <w:numPr>
                <w:ilvl w:val="0"/>
                <w:numId w:val="2"/>
              </w:numPr>
              <w:spacing w:after="0" w:line="240" w:lineRule="auto"/>
              <w:ind w:left="220" w:leftChars="100" w:firstLine="0" w:firstLineChars="0"/>
              <w:rPr>
                <w:rFonts w:hint="eastAsia"/>
              </w:rPr>
            </w:pPr>
            <w:r>
              <w:rPr>
                <w:rFonts w:hint="eastAsia"/>
              </w:rPr>
              <w:t>In the cross-compilation environment, compile the open-source library tesseract, and generate compilation products such as header files and lib libraries;</w:t>
            </w:r>
          </w:p>
          <w:p>
            <w:pPr>
              <w:pStyle w:val="19"/>
              <w:numPr>
                <w:ilvl w:val="0"/>
                <w:numId w:val="2"/>
              </w:numPr>
              <w:spacing w:after="0" w:line="240" w:lineRule="auto"/>
              <w:ind w:left="220" w:leftChars="100" w:firstLine="0" w:firstLineChars="0"/>
            </w:pPr>
            <w:r>
              <w:rPr>
                <w:rFonts w:hint="eastAsia"/>
              </w:rPr>
              <w:t>In the cross-compilation environment, products are directly generated through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pStyle w:val="19"/>
              <w:numPr>
                <w:ilvl w:val="0"/>
                <w:numId w:val="4"/>
              </w:numPr>
              <w:spacing w:after="0" w:line="240" w:lineRule="auto"/>
              <w:rPr>
                <w:rFonts w:hint="eastAsia"/>
                <w:lang w:val="en" w:eastAsia="zh-CN"/>
              </w:rPr>
            </w:pPr>
            <w:r>
              <w:rPr>
                <w:rFonts w:hint="eastAsia"/>
              </w:rPr>
              <w:t>Prepare English text pictures or Chinese text pictures and put them in the image_ocr executable program sibling directory;</w:t>
            </w:r>
          </w:p>
          <w:p>
            <w:pPr>
              <w:pStyle w:val="19"/>
              <w:numPr>
                <w:ilvl w:val="0"/>
                <w:numId w:val="4"/>
              </w:numPr>
              <w:spacing w:after="0" w:line="240" w:lineRule="auto"/>
              <w:rPr>
                <w:rFonts w:hint="eastAsia"/>
                <w:lang w:val="en" w:eastAsia="zh-CN"/>
              </w:rPr>
            </w:pPr>
            <w:r>
              <w:rPr>
                <w:rFonts w:hint="eastAsia"/>
                <w:lang w:val="en" w:eastAsia="zh-CN"/>
              </w:rPr>
              <w:t>Prepare dynamic library files required by image_ocr executable programs such as libgif.so, liblept.so, and libtesseract.so, and place them in the same directory of the image_ocr executable program;</w:t>
            </w:r>
          </w:p>
          <w:p>
            <w:pPr>
              <w:pStyle w:val="19"/>
              <w:numPr>
                <w:ilvl w:val="0"/>
                <w:numId w:val="4"/>
              </w:numPr>
              <w:spacing w:after="0" w:line="240" w:lineRule="auto"/>
              <w:rPr>
                <w:rFonts w:hint="eastAsia"/>
                <w:lang w:val="en" w:eastAsia="zh-CN"/>
              </w:rPr>
            </w:pPr>
            <w:r>
              <w:rPr>
                <w:rFonts w:hint="eastAsia"/>
                <w:lang w:val="en" w:eastAsia="zh-CN"/>
              </w:rPr>
              <w:t>Prepare the tesseract language model folder tessdata and place it in the image_ocr executable program sibling directory;</w:t>
            </w:r>
          </w:p>
          <w:p>
            <w:pPr>
              <w:pStyle w:val="19"/>
              <w:numPr>
                <w:ilvl w:val="0"/>
                <w:numId w:val="4"/>
              </w:numPr>
              <w:spacing w:after="0" w:line="240" w:lineRule="auto"/>
              <w:rPr>
                <w:rFonts w:hint="eastAsia"/>
                <w:lang w:val="en" w:eastAsia="zh-CN"/>
              </w:rPr>
            </w:pPr>
            <w:r>
              <w:rPr>
                <w:rFonts w:hint="eastAsia"/>
                <w:lang w:val="en" w:eastAsia="zh-CN"/>
              </w:rPr>
              <w:t>To execute image_ocr executable program, you need to take two parameters:</w:t>
            </w:r>
          </w:p>
          <w:p>
            <w:pPr>
              <w:pStyle w:val="19"/>
              <w:numPr>
                <w:ilvl w:val="0"/>
                <w:numId w:val="5"/>
              </w:numPr>
              <w:spacing w:after="0" w:line="240" w:lineRule="auto"/>
              <w:ind w:left="1068" w:leftChars="0" w:firstLine="0" w:firstLineChars="0"/>
              <w:rPr>
                <w:rFonts w:hint="default"/>
                <w:lang w:val="en-US" w:eastAsia="zh-CN"/>
              </w:rPr>
            </w:pPr>
            <w:r>
              <w:rPr>
                <w:rFonts w:hint="default"/>
                <w:lang w:val="en-US" w:eastAsia="zh-CN"/>
              </w:rPr>
              <w:t>The first parameter is the image path name, which can be carried according to the actual situation;</w:t>
            </w:r>
          </w:p>
          <w:p>
            <w:pPr>
              <w:pStyle w:val="19"/>
              <w:numPr>
                <w:ilvl w:val="0"/>
                <w:numId w:val="5"/>
              </w:numPr>
              <w:spacing w:after="0" w:line="240" w:lineRule="auto"/>
              <w:ind w:left="1068" w:leftChars="0" w:firstLine="0" w:firstLineChars="0"/>
              <w:rPr>
                <w:rFonts w:hint="default"/>
                <w:lang w:val="en-US" w:eastAsia="zh-CN"/>
              </w:rPr>
            </w:pPr>
            <w:r>
              <w:rPr>
                <w:rFonts w:hint="default"/>
                <w:lang w:val="en-US" w:eastAsia="zh-CN"/>
              </w:rPr>
              <w:t>The second parameter is the loading image type, where 1 is an English text picture and 2 is a Chinese text picture, which can be carried according to the actual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p>
          <w:p>
            <w:pPr>
              <w:tabs>
                <w:tab w:val="left" w:pos="2425"/>
              </w:tabs>
              <w:rPr>
                <w:rFonts w:hint="default" w:eastAsia="宋体"/>
                <w:lang w:val="en-US" w:eastAsia="zh-CN"/>
              </w:rPr>
            </w:pPr>
            <w:r>
              <w:rPr>
                <w:rFonts w:hint="eastAsia" w:eastAsia="宋体"/>
                <w:lang w:val="en-US" w:eastAsia="zh-CN"/>
              </w:rPr>
              <w:drawing>
                <wp:inline distT="0" distB="0" distL="114300" distR="114300">
                  <wp:extent cx="1144270" cy="1144270"/>
                  <wp:effectExtent l="0" t="0" r="17780" b="17780"/>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
                          <pic:cNvPicPr>
                            <a:picLocks noChangeAspect="1"/>
                          </pic:cNvPicPr>
                        </pic:nvPicPr>
                        <pic:blipFill>
                          <a:blip r:embed="rId9"/>
                          <a:stretch>
                            <a:fillRect/>
                          </a:stretch>
                        </pic:blipFill>
                        <pic:spPr>
                          <a:xfrm>
                            <a:off x="0" y="0"/>
                            <a:ext cx="1144270" cy="1144270"/>
                          </a:xfrm>
                          <a:prstGeom prst="rect">
                            <a:avLst/>
                          </a:prstGeom>
                        </pic:spPr>
                      </pic:pic>
                    </a:graphicData>
                  </a:graphic>
                </wp:inline>
              </w:drawing>
            </w:r>
            <w:r>
              <w:rPr>
                <w:rFonts w:hint="eastAsia" w:eastAsia="宋体"/>
                <w:lang w:val="en-US" w:eastAsia="zh-CN"/>
              </w:rPr>
              <w:t xml:space="preserve">                  </w:t>
            </w:r>
            <w:r>
              <w:drawing>
                <wp:inline distT="0" distB="0" distL="114300" distR="114300">
                  <wp:extent cx="2535555" cy="1150620"/>
                  <wp:effectExtent l="0" t="0" r="1714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535555" cy="1150620"/>
                          </a:xfrm>
                          <a:prstGeom prst="rect">
                            <a:avLst/>
                          </a:prstGeom>
                          <a:noFill/>
                          <a:ln>
                            <a:noFill/>
                          </a:ln>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pPr>
            <w:r>
              <w:rPr>
                <w:rFonts w:hint="default" w:eastAsia="宋体"/>
                <w:lang w:val="en-US" w:eastAsia="zh-CN"/>
              </w:rPr>
              <w:drawing>
                <wp:inline distT="0" distB="0" distL="114300" distR="114300">
                  <wp:extent cx="1049020" cy="1574800"/>
                  <wp:effectExtent l="0" t="0" r="17780" b="635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1"/>
                          <a:stretch>
                            <a:fillRect/>
                          </a:stretch>
                        </pic:blipFill>
                        <pic:spPr>
                          <a:xfrm>
                            <a:off x="0" y="0"/>
                            <a:ext cx="1049020" cy="1574800"/>
                          </a:xfrm>
                          <a:prstGeom prst="rect">
                            <a:avLst/>
                          </a:prstGeom>
                        </pic:spPr>
                      </pic:pic>
                    </a:graphicData>
                  </a:graphic>
                </wp:inline>
              </w:drawing>
            </w:r>
            <w:r>
              <w:rPr>
                <w:rFonts w:hint="eastAsia" w:eastAsia="宋体"/>
                <w:lang w:val="en-US" w:eastAsia="zh-CN"/>
              </w:rPr>
              <w:t xml:space="preserve">                    </w:t>
            </w:r>
            <w:r>
              <w:drawing>
                <wp:inline distT="0" distB="0" distL="114300" distR="114300">
                  <wp:extent cx="2093595" cy="1096645"/>
                  <wp:effectExtent l="0" t="0" r="1905"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093595" cy="1096645"/>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F9F30"/>
    <w:multiLevelType w:val="singleLevel"/>
    <w:tmpl w:val="8BBF9F30"/>
    <w:lvl w:ilvl="0" w:tentative="0">
      <w:start w:val="1"/>
      <w:numFmt w:val="decimal"/>
      <w:suff w:val="space"/>
      <w:lvlText w:val="(%1)"/>
      <w:lvlJc w:val="left"/>
    </w:lvl>
  </w:abstractNum>
  <w:abstractNum w:abstractNumId="1">
    <w:nsid w:val="BF9FF6A3"/>
    <w:multiLevelType w:val="singleLevel"/>
    <w:tmpl w:val="BF9FF6A3"/>
    <w:lvl w:ilvl="0" w:tentative="0">
      <w:start w:val="1"/>
      <w:numFmt w:val="decimal"/>
      <w:suff w:val="space"/>
      <w:lvlText w:val="(%1)"/>
      <w:lvlJc w:val="left"/>
    </w:lvl>
  </w:abstractNum>
  <w:abstractNum w:abstractNumId="2">
    <w:nsid w:val="FBEB092E"/>
    <w:multiLevelType w:val="singleLevel"/>
    <w:tmpl w:val="FBEB092E"/>
    <w:lvl w:ilvl="0" w:tentative="0">
      <w:start w:val="1"/>
      <w:numFmt w:val="lowerLetter"/>
      <w:suff w:val="space"/>
      <w:lvlText w:val="%1."/>
      <w:lvlJc w:val="left"/>
      <w:pPr>
        <w:ind w:left="1068" w:leftChars="0" w:firstLine="0" w:firstLineChars="0"/>
      </w:pPr>
    </w:lvl>
  </w:abstractNum>
  <w:abstractNum w:abstractNumId="3">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33EC"/>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AD58A1"/>
    <w:rsid w:val="03B58F32"/>
    <w:rsid w:val="045E22E0"/>
    <w:rsid w:val="05085485"/>
    <w:rsid w:val="05895A56"/>
    <w:rsid w:val="08641951"/>
    <w:rsid w:val="0BFFE3AA"/>
    <w:rsid w:val="0D6940BB"/>
    <w:rsid w:val="0E4F5ED2"/>
    <w:rsid w:val="0F175F81"/>
    <w:rsid w:val="0F98CF3E"/>
    <w:rsid w:val="0FB00BF3"/>
    <w:rsid w:val="0FFBB1C7"/>
    <w:rsid w:val="10B02FC0"/>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B7797"/>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3BFEDC2"/>
    <w:rsid w:val="53DBC94B"/>
    <w:rsid w:val="54573FD5"/>
    <w:rsid w:val="5474356A"/>
    <w:rsid w:val="55D608C7"/>
    <w:rsid w:val="56E74846"/>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02555"/>
    <w:rsid w:val="64EFAF7F"/>
    <w:rsid w:val="64FFAD96"/>
    <w:rsid w:val="66E2D2BC"/>
    <w:rsid w:val="66FBC8D0"/>
    <w:rsid w:val="66FED171"/>
    <w:rsid w:val="67860E2D"/>
    <w:rsid w:val="6AEFFE84"/>
    <w:rsid w:val="6AFFD526"/>
    <w:rsid w:val="6B325A53"/>
    <w:rsid w:val="6B3D38C5"/>
    <w:rsid w:val="6B8C09AC"/>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9A87B"/>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7FB441"/>
    <w:rsid w:val="7996E2DB"/>
    <w:rsid w:val="79C175A4"/>
    <w:rsid w:val="79D98D72"/>
    <w:rsid w:val="79F3F755"/>
    <w:rsid w:val="79F46011"/>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71AD1"/>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96D7"/>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DFFCAC3"/>
    <w:rsid w:val="8EEE1331"/>
    <w:rsid w:val="8FBA226A"/>
    <w:rsid w:val="8FBB09A2"/>
    <w:rsid w:val="8FBD9AE3"/>
    <w:rsid w:val="8FFE30EC"/>
    <w:rsid w:val="92FF837C"/>
    <w:rsid w:val="937D871B"/>
    <w:rsid w:val="964FBBCE"/>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AFEBBAD"/>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7AB92A6"/>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CEC43A"/>
    <w:rsid w:val="DFDD6D56"/>
    <w:rsid w:val="DFDF327A"/>
    <w:rsid w:val="DFF30934"/>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6985"/>
    <w:rsid w:val="FF7F9FCB"/>
    <w:rsid w:val="FF7FCA87"/>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 w:type="paragraph" w:customStyle="1" w:styleId="29">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839</Words>
  <Characters>4894</Characters>
  <Lines>60</Lines>
  <Paragraphs>17</Paragraphs>
  <TotalTime>1</TotalTime>
  <ScaleCrop>false</ScaleCrop>
  <LinksUpToDate>false</LinksUpToDate>
  <CharactersWithSpaces>5866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2020-06-13T00:42:00Z</dcterms:created>
  <dc:creator>Jorgensen, Christine</dc:creator>
  <cp:lastModifiedBy>闫喆  </cp:lastModifiedBy>
  <cp:lastPrinted>2015-10-09T18:12:00Z</cp:lastPrinted>
  <dcterms:modified xsi:type="dcterms:W3CDTF">2023-06-28T03:14:32Z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2052-11.1.0.14309</vt:lpwstr>
  </property>
  <property fmtid="{D5CDD505-2E9C-101B-9397-08002B2CF9AE}" pid="5" name="ICV">
    <vt:lpwstr>098EC7739A1B475BA4F268E4BC9373E0_12</vt:lpwstr>
  </property>
</Properties>
</file>