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BÁO CÁO TÓM TẮT ĐỀ TÀI NGHIÊN CỨU KHOA HỌC</w:t>
        <w:br/>
        <w:br/>
        <w:t>NGHIÊN CỨU VÀ TỐI ƯU HÓA BÀI TOÁN ĐỊNH TUYẾN PHƯƠNG TIỆN CÓ KHUNG THỜI GIAN (VRPTW) BẰNG THUẬT TOÁN TÌM KIẾM LÂN CẬN LỚN THÍCH ỨNG LAI HỌC TĂNG CƯỜNG SÂU (DDQN-ALNS)</w:t>
        <w:br/>
      </w:r>
    </w:p>
    <w:p>
      <w:pPr>
        <w:jc w:val="center"/>
      </w:pPr>
      <w:r>
        <w:rPr>
          <w:b/>
          <w:sz w:val="26"/>
        </w:rPr>
        <w:t>Sinh viên thực hiện: Huỳnh Nhật Huy</w:t>
        <w:br/>
        <w:t>MSSV: 523c0012</w:t>
        <w:br/>
        <w:t>Khoa: Công nghệ thông tin</w:t>
        <w:br/>
        <w:br/>
      </w:r>
    </w:p>
    <w:p>
      <w:pPr>
        <w:pStyle w:val="Heading1"/>
      </w:pPr>
      <w:r>
        <w:t>TÓM TẮT CÔNG TRÌNH</w:t>
      </w:r>
    </w:p>
    <w:p>
      <w:r>
        <w:t xml:space="preserve">Bài toán định tuyến phương tiện có khung thời gian (Vehicle Routing Problem with Time Windows - VRPTW) là một bài toán tối ưu hóa tổ hợp thuộc lớp NP-khó, đóng vai trò cốt lõi trong việc giảm thiểu chi phí vận hành và lượng phát thải trong chuỗi cung ứng logistics đô thị. Nghiên cứu này đề xuất một phương pháp tiếp cận lai mới mang tên DDQN-ALNS, kết hợp thuật toán Tìm kiếm lân cận lớn thích ứng (Adaptive Large Neighborhood Search - ALNS) truyền thống với Học tăng cường sâu (Deep Reinforcement Learning - DRL), cụ thể là kiến trúc Double Deep Q-Network (DDQN) tích hợp Prioritized Experience Replay (PER). </w:t>
      </w:r>
    </w:p>
    <w:p>
      <w:r>
        <w:t>Hệ thống đề xuất sử dụng hai bộ điều khiển học sâu: (1) Plateau Controller ở cấp cao để quyết định chuyển đổi động giữa 6 chế độ tìm kiếm khác nhau dựa trên các đặc trưng tiến trình tìm kiếm; (2) Operator Controller ở cấp thấp để lựa chọn tối ưu cặp toán tử phá hủy (Destroy) và sửa chữa (Repair) trong số 40 tổ hợp toán tử sẵn có. Ngoài ra, cơ chế học điều kiện chấp nhận (Learned Acceptance Criterion - LAC) sử dụng mạng nơ-ron phân loại nhị phân được phát triển để thay thế tiêu chuẩn Simulated Annealing truyền thống, giúp đưa ra quyết định chấp nhận lời giải ứng viên dựa trên trạng thái tối ưu hóa hiện tại. Để giải quyết triệt để ràng buộc về số lượng phương tiện tối thiểu, thuật toán kết hợp bộ lọc Route Pool và cơ chế tái tổ hợp Set-Partitioning giải bằng Quy hoạch nguyên hỗn hợp (MILP) cùng giải thuật loại bỏ tuyến đường chủ động.</w:t>
      </w:r>
    </w:p>
    <w:p>
      <w:r>
        <w:t>Thực nghiệm diện rộng được tiến hành trên tập dữ liệu chuẩn Solomon (gồm các lớp RC1 và RC2) và so sánh trực tiếp với thuật toán nền tảng ALNS-Base, phiên bản lai luật cứng (Hybrid-Fixed, Hybrid-Rule) và bộ giải thương mại Google OR-Tools (CP-SAT solver). Kết quả thực nghiệm khẳng định sự vượt trội của DDQN-ALNS: thuật toán đạt độ lệch khoảng cách (Gap%) cực thấp chỉ 0.27% (ở cấu hình 1200 vòng lặp) so với Lời giải tốt nhất đã biết (Best-Known Solutions - BKS) trên Solomon, đồng thời giảm số lượng xe trung bình (NV) từ 7.67 (ALNS-Base) xuống còn 7.61 xe. Đặc biệt, giải pháp thương mại OR-Tools cho kết quả kém tối ưu về quy mô đội xe khi sử dụng trung bình tới 8.84 xe (tăng hơn 16% số lượng phương tiện). Nghiên cứu cũng chứng minh khả năng tổng quát hóa vượt trội thông qua phương pháp huấn luyện ngẫu nhiên hóa miền dữ liệu (Domain Randomization) trên các thực thể nhân tạo. Bản báo cáo chi tiết quá trình nghiên cứu và kết quả đạt được dưới đây.</w:t>
      </w:r>
    </w:p>
    <w:p>
      <w:pPr>
        <w:pStyle w:val="Heading1"/>
      </w:pPr>
      <w:r>
        <w:t>QUÁ TRÌNH NGHIÊN CỨU VÀ KẾT QUẢ</w:t>
      </w:r>
    </w:p>
    <w:p>
      <w:pPr>
        <w:pStyle w:val="Heading2"/>
      </w:pPr>
      <w:r>
        <w:t>1. GIỚI THIỆU VÀ CƠ SỞ LÝ THUYẾT</w:t>
      </w:r>
    </w:p>
    <w:p>
      <w:pPr>
        <w:pStyle w:val="Heading3"/>
      </w:pPr>
      <w:r>
        <w:t>1.1. Phát biểu toán học bài toán VRPTW</w:t>
      </w:r>
    </w:p>
    <w:p>
      <w:r>
        <w:t>Bài toán định tuyến phương tiện có khung thời gian (VRPTW) được định nghĩa trên một đồ thị định hướng đầy đủ G = (V, A). Trong đó V = {0, 1, 2, ..., n, n+1} đại diện cho tập các đỉnh, đỉnh 0 và n+1 là kho xuất phát và kho kết thúc (depot). Tập khách hàng cần phục vụ được ký hiệu là C = {1, 2, ..., n}. Tập cung đường A = {(i, j) : i, j in V, i != j}. Mỗi cung đường (i, j) được gán một chi phí khoảng cách di chuyển d_ij và thời gian di chuyển t_ij. Đội xe đồng nhất gồm K phương tiện, mỗi phương tiện có sức tải tối đa là Q. Mỗi khách hàng i có nhu cầu q_i, thời gian phục vụ s_i, và khung thời gian cho phép bắt đầu phục vụ [E_i, L_i].</w:t>
      </w:r>
    </w:p>
    <w:p>
      <w:r>
        <w:t>Các biến quyết định chính bao gồm: x_ijk bằng 1 nếu phương tiện k di chuyển trực tiếp từ đỉnh i sang đỉnh j, và 0 ngược lại; w_ik là thời điểm phương tiện k bắt đầu phục vụ tại đỉnh i. Mô hình quy hoạch toán học cụ thể như sau:</w:t>
      </w:r>
    </w:p>
    <w:p>
      <w:pPr>
        <w:pStyle w:val="Heading3"/>
      </w:pPr>
      <w:r>
        <w:t>1.1.1. Hàm mục tiêu (Objective Function)</w:t>
      </w:r>
    </w:p>
    <w:p>
      <w:r>
        <w:t>Mục tiêu hàng đầu của VRPTW là tối thiểu hóa số lượng phương tiện vận hành (fleet size), và mục tiêu thứ cấp là tối thiểu hóa tổng khoảng cách di chuyển. Hàm mục tiêu được biểu diễn như sau:</w:t>
      </w:r>
    </w:p>
    <w:p>
      <w:pPr>
        <w:jc w:val="center"/>
      </w:pPr>
      <w:r>
        <w:rPr>
          <w:b/>
        </w:rPr>
        <w:t xml:space="preserve">min  f(x) = M · </w:t>
      </w:r>
      <w:r>
        <w:rPr>
          <w:b/>
        </w:rPr>
        <w:t>∑</w:t>
      </w:r>
      <w:r>
        <w:rPr>
          <w:vertAlign w:val="subscript"/>
        </w:rPr>
        <w:t>k∈K</w:t>
      </w:r>
      <w:r>
        <w:rPr>
          <w:b/>
        </w:rPr>
        <w:t xml:space="preserve"> ∑</w:t>
      </w:r>
      <w:r>
        <w:rPr>
          <w:vertAlign w:val="subscript"/>
        </w:rPr>
        <w:t>j∈C</w:t>
      </w:r>
      <w:r>
        <w:rPr>
          <w:i/>
        </w:rPr>
        <w:t xml:space="preserve"> x</w:t>
      </w:r>
      <w:r>
        <w:rPr>
          <w:vertAlign w:val="subscript"/>
        </w:rPr>
        <w:t>0jk</w:t>
      </w:r>
      <w:r>
        <w:t xml:space="preserve"> + </w:t>
      </w:r>
      <w:r>
        <w:rPr>
          <w:b/>
        </w:rPr>
        <w:t>∑</w:t>
      </w:r>
      <w:r>
        <w:rPr>
          <w:vertAlign w:val="subscript"/>
        </w:rPr>
        <w:t>k∈K</w:t>
      </w:r>
      <w:r>
        <w:rPr>
          <w:b/>
        </w:rPr>
        <w:t xml:space="preserve"> ∑</w:t>
      </w:r>
      <w:r>
        <w:rPr>
          <w:vertAlign w:val="subscript"/>
        </w:rPr>
        <w:t>(i,j)∈A</w:t>
      </w:r>
      <w:r>
        <w:rPr>
          <w:i/>
        </w:rPr>
        <w:t xml:space="preserve"> d</w:t>
      </w:r>
      <w:r>
        <w:rPr>
          <w:vertAlign w:val="subscript"/>
        </w:rPr>
        <w:t>ij</w:t>
      </w:r>
      <w:r>
        <w:rPr>
          <w:i/>
        </w:rPr>
        <w:t xml:space="preserve"> · x</w:t>
      </w:r>
      <w:r>
        <w:rPr>
          <w:vertAlign w:val="subscript"/>
        </w:rPr>
        <w:t>ijk</w:t>
      </w:r>
      <w:r>
        <w:t xml:space="preserve">       (1.1)</w:t>
      </w:r>
    </w:p>
    <w:p>
      <w:pPr>
        <w:pStyle w:val="Heading3"/>
      </w:pPr>
      <w:r>
        <w:t>1.1.2. Hệ thống ràng buộc (Constraints)</w:t>
      </w:r>
    </w:p>
    <w:p>
      <w:r>
        <w:t>Hệ thống ràng buộc đảm bảo tính khả thi của lộ trình giao nhận:</w:t>
      </w:r>
    </w:p>
    <w:p>
      <w:pPr>
        <w:jc w:val="center"/>
      </w:pPr>
      <w:r>
        <w:rPr>
          <w:b/>
        </w:rPr>
        <w:t>∑</w:t>
      </w:r>
      <w:r>
        <w:rPr>
          <w:vertAlign w:val="subscript"/>
        </w:rPr>
        <w:t>k∈K</w:t>
      </w:r>
      <w:r>
        <w:rPr>
          <w:b/>
        </w:rPr>
        <w:t xml:space="preserve"> ∑</w:t>
      </w:r>
      <w:r>
        <w:rPr>
          <w:vertAlign w:val="subscript"/>
        </w:rPr>
        <w:t>j∈V\{0}</w:t>
      </w:r>
      <w:r>
        <w:rPr>
          <w:i/>
        </w:rPr>
        <w:t xml:space="preserve"> x</w:t>
      </w:r>
      <w:r>
        <w:rPr>
          <w:vertAlign w:val="subscript"/>
        </w:rPr>
        <w:t>ijk</w:t>
      </w:r>
      <w:r>
        <w:t xml:space="preserve"> = 1,    ∀i ∈ C       (1.2)</w:t>
      </w:r>
    </w:p>
    <w:p>
      <w:pPr>
        <w:jc w:val="center"/>
      </w:pPr>
      <w:r>
        <w:rPr>
          <w:b/>
        </w:rPr>
        <w:t>∑</w:t>
      </w:r>
      <w:r>
        <w:rPr>
          <w:vertAlign w:val="subscript"/>
        </w:rPr>
        <w:t>j∈V\{0}</w:t>
      </w:r>
      <w:r>
        <w:rPr>
          <w:i/>
        </w:rPr>
        <w:t xml:space="preserve"> x</w:t>
      </w:r>
      <w:r>
        <w:rPr>
          <w:vertAlign w:val="subscript"/>
        </w:rPr>
        <w:t>0jk</w:t>
      </w:r>
      <w:r>
        <w:t xml:space="preserve"> ≤ 1,    ∀k ∈ K       (1.3)</w:t>
      </w:r>
    </w:p>
    <w:p>
      <w:pPr>
        <w:jc w:val="center"/>
      </w:pPr>
      <w:r>
        <w:rPr>
          <w:b/>
        </w:rPr>
        <w:t>∑</w:t>
      </w:r>
      <w:r>
        <w:rPr>
          <w:vertAlign w:val="subscript"/>
        </w:rPr>
        <w:t>i∈V\{n+1}</w:t>
      </w:r>
      <w:r>
        <w:rPr>
          <w:i/>
        </w:rPr>
        <w:t xml:space="preserve"> x</w:t>
      </w:r>
      <w:r>
        <w:rPr>
          <w:vertAlign w:val="subscript"/>
        </w:rPr>
        <w:t>i,n+1,k</w:t>
      </w:r>
      <w:r>
        <w:t xml:space="preserve"> ≤ 1,    ∀k ∈ K       (1.4)</w:t>
      </w:r>
    </w:p>
    <w:p>
      <w:pPr>
        <w:jc w:val="center"/>
      </w:pPr>
      <w:r>
        <w:rPr>
          <w:b/>
        </w:rPr>
        <w:t>∑</w:t>
      </w:r>
      <w:r>
        <w:rPr>
          <w:vertAlign w:val="subscript"/>
        </w:rPr>
        <w:t>i∈V</w:t>
      </w:r>
      <w:r>
        <w:rPr>
          <w:i/>
        </w:rPr>
        <w:t xml:space="preserve"> x</w:t>
      </w:r>
      <w:r>
        <w:rPr>
          <w:vertAlign w:val="subscript"/>
        </w:rPr>
        <w:t>ijk</w:t>
      </w:r>
      <w:r>
        <w:t xml:space="preserve"> - </w:t>
      </w:r>
      <w:r>
        <w:rPr>
          <w:b/>
        </w:rPr>
        <w:t>∑</w:t>
      </w:r>
      <w:r>
        <w:rPr>
          <w:vertAlign w:val="subscript"/>
        </w:rPr>
        <w:t>i'∈V</w:t>
      </w:r>
      <w:r>
        <w:rPr>
          <w:i/>
        </w:rPr>
        <w:t xml:space="preserve"> x</w:t>
      </w:r>
      <w:r>
        <w:rPr>
          <w:vertAlign w:val="subscript"/>
        </w:rPr>
        <w:t>ji'k</w:t>
      </w:r>
      <w:r>
        <w:t xml:space="preserve"> = 0,    ∀j ∈ C, ∀k ∈ K       (1.5)</w:t>
      </w:r>
    </w:p>
    <w:p>
      <w:pPr>
        <w:jc w:val="center"/>
      </w:pPr>
      <w:r>
        <w:rPr>
          <w:b/>
        </w:rPr>
        <w:t>∑</w:t>
      </w:r>
      <w:r>
        <w:rPr>
          <w:vertAlign w:val="subscript"/>
        </w:rPr>
        <w:t>i∈C</w:t>
      </w:r>
      <w:r>
        <w:rPr>
          <w:i/>
        </w:rPr>
        <w:t xml:space="preserve"> q</w:t>
      </w:r>
      <w:r>
        <w:rPr>
          <w:vertAlign w:val="subscript"/>
        </w:rPr>
        <w:t>i</w:t>
      </w:r>
      <w:r>
        <w:rPr>
          <w:b/>
        </w:rPr>
        <w:t xml:space="preserve"> ∑</w:t>
      </w:r>
      <w:r>
        <w:rPr>
          <w:vertAlign w:val="subscript"/>
        </w:rPr>
        <w:t>j∈V</w:t>
      </w:r>
      <w:r>
        <w:rPr>
          <w:i/>
        </w:rPr>
        <w:t xml:space="preserve"> x</w:t>
      </w:r>
      <w:r>
        <w:rPr>
          <w:vertAlign w:val="subscript"/>
        </w:rPr>
        <w:t>ijk</w:t>
      </w:r>
      <w:r>
        <w:t xml:space="preserve"> ≤ Q,    ∀k ∈ K       (1.6)</w:t>
      </w:r>
    </w:p>
    <w:p>
      <w:pPr>
        <w:jc w:val="center"/>
      </w:pPr>
      <w:r>
        <w:rPr>
          <w:i/>
        </w:rPr>
        <w:t>w</w:t>
      </w:r>
      <w:r>
        <w:rPr>
          <w:vertAlign w:val="subscript"/>
        </w:rPr>
        <w:t>ik</w:t>
      </w:r>
      <w:r>
        <w:t xml:space="preserve"> + s</w:t>
      </w:r>
      <w:r>
        <w:rPr>
          <w:vertAlign w:val="subscript"/>
        </w:rPr>
        <w:t>i</w:t>
      </w:r>
      <w:r>
        <w:t xml:space="preserve"> + t</w:t>
      </w:r>
      <w:r>
        <w:rPr>
          <w:vertAlign w:val="subscript"/>
        </w:rPr>
        <w:t>ij</w:t>
      </w:r>
      <w:r>
        <w:t xml:space="preserve"> - M</w:t>
      </w:r>
      <w:r>
        <w:rPr>
          <w:vertAlign w:val="subscript"/>
        </w:rPr>
        <w:t>ij</w:t>
      </w:r>
      <w:r>
        <w:t xml:space="preserve"> · (1 - x</w:t>
      </w:r>
      <w:r>
        <w:rPr>
          <w:vertAlign w:val="subscript"/>
        </w:rPr>
        <w:t>ijk</w:t>
      </w:r>
      <w:r>
        <w:t>) ≤ w</w:t>
      </w:r>
      <w:r>
        <w:rPr>
          <w:vertAlign w:val="subscript"/>
        </w:rPr>
        <w:t>jk</w:t>
      </w:r>
      <w:r>
        <w:t>,    ∀(i, j) ∈ A, ∀k ∈ K       (1.7)</w:t>
      </w:r>
    </w:p>
    <w:p>
      <w:pPr>
        <w:jc w:val="center"/>
      </w:pPr>
      <w:r>
        <w:rPr>
          <w:i/>
        </w:rPr>
        <w:t>E</w:t>
      </w:r>
      <w:r>
        <w:rPr>
          <w:vertAlign w:val="subscript"/>
        </w:rPr>
        <w:t>i</w:t>
      </w:r>
      <w:r>
        <w:t xml:space="preserve"> ≤ w</w:t>
      </w:r>
      <w:r>
        <w:rPr>
          <w:vertAlign w:val="subscript"/>
        </w:rPr>
        <w:t>ik</w:t>
      </w:r>
      <w:r>
        <w:t xml:space="preserve"> ≤ L</w:t>
      </w:r>
      <w:r>
        <w:rPr>
          <w:vertAlign w:val="subscript"/>
        </w:rPr>
        <w:t>i</w:t>
      </w:r>
      <w:r>
        <w:t>,    ∀i ∈ V, ∀k ∈ K       (1.8)</w:t>
      </w:r>
    </w:p>
    <w:p>
      <w:r>
        <w:t>Ràng buộc (1.2) đảm bảo mỗi khách hàng được phục vụ chính xác một lần. Ràng buộc (1.3)-(1.4) quy định xe k bắt đầu từ kho 0 và kết thúc ở kho n+1. Ràng buộc (1.5) bảo toàn dòng chảy lưu thông. Ràng buộc (1.6) kiểm soát tải trọng. Ràng buộc (1.7) loại bỏ chu trình khép kín phi lý và thiết lập trình tự thời gian. Ràng buộc (1.8) cưỡng chế giới hạn khung thời gian giao nhận.</w:t>
      </w:r>
    </w:p>
    <w:p>
      <w:pPr>
        <w:pStyle w:val="Heading3"/>
      </w:pPr>
      <w:r>
        <w:t>1.2. Thuật toán tìm kiếm lân cận lớn thích ứng (ALNS)</w:t>
      </w:r>
    </w:p>
    <w:p>
      <w:r>
        <w:t>Thuật toán ALNS hoạt động theo nguyên lý lặp đi lặp lại việc chọn toán tử phá hủy để loại bỏ một lượng khách hàng khỏi lời giải hiện tại, sau đó dùng toán tử sửa chữa để chèn lại các khách hàng này. Lời giải ứng viên s' được chấp nhận dựa trên thuật toán luyện kim (Simulated Annealing) với xác suất chấp nhận tuân theo công thức:</w:t>
      </w:r>
    </w:p>
    <w:p>
      <w:pPr>
        <w:jc w:val="center"/>
      </w:pPr>
      <w:r>
        <w:rPr>
          <w:b/>
        </w:rPr>
        <w:t>P(accept) = exp( - [ f(s') - f(s) ] / T</w:t>
      </w:r>
      <w:r>
        <w:rPr>
          <w:vertAlign w:val="subscript"/>
        </w:rPr>
        <w:t>t</w:t>
      </w:r>
      <w:r>
        <w:rPr>
          <w:b/>
        </w:rPr>
        <w:t xml:space="preserve"> )       (1.10)</w:t>
      </w:r>
    </w:p>
    <w:p>
      <w:r>
        <w:t>Nhiệt độ T_t suy giảm dần theo thời gian thông qua hệ số làm nguội alpha: T_t+1 = T_t * alpha.</w:t>
      </w:r>
    </w:p>
    <w:p>
      <w:pPr>
        <w:pStyle w:val="Heading2"/>
      </w:pPr>
      <w:r>
        <w:t>2. THUẬT TOÁN ĐỀ XUẤT HYBRID DDQN-ALNS</w:t>
      </w:r>
    </w:p>
    <w:p>
      <w:pPr>
        <w:pStyle w:val="Heading3"/>
      </w:pPr>
      <w:r>
        <w:t>2.1. Cấu trúc tổng quát của hệ thống lai (Hybrid Architecture)</w:t>
      </w:r>
    </w:p>
    <w:p>
      <w:r>
        <w:t>Hệ thống lai đề xuất sử dụng kiến trúc phân tầng: bộ điều khiển cấp cao Plateau Controller điều phối Search Mode, bộ điều khiển cấp thấp Operator Controller chọn cặp toán tử ALNS tại mỗi vòng lặp, phối hợp cùng cơ chế tích lũy Route Pool và Set Partitioning để tổ hợp các tuyến đường tốt nhất.</w:t>
      </w:r>
    </w:p>
    <w:p>
      <w:pPr>
        <w:pStyle w:val="Heading3"/>
      </w:pPr>
      <w:r>
        <w:t>2.2. Các chế độ tìm kiếm tích hợp (Search Modes)</w:t>
      </w:r>
    </w:p>
    <w:p>
      <w:r>
        <w:t>Sáu chế độ tìm kiếm được cấu hình trong hệ thống: default (mặc định), intensify (tăng cường tìm kiếm cục bộ), diversify (tăng mạnh phá hủy và nhiệt độ), tw_rescue (tập trung giải cứu khung thời gian chặt), pool_recombine (kích hoạt tổ hợp quy hoạch nguyên), và route_reduce (xóa tuyến đường chủ động để giảm xe).</w:t>
      </w:r>
    </w:p>
    <w:p>
      <w:pPr>
        <w:pStyle w:val="Heading3"/>
      </w:pPr>
      <w:r>
        <w:t>2.3. Điều khiển cấp cao (Plateau Controller)</w:t>
      </w:r>
    </w:p>
    <w:p>
      <w:r>
        <w:t>Sử dụng mạng Dueling Double DQN để chọn Search Mode ở đầu mỗi phân đoạn. Giá trị hành động được tách biệt thành hàm giá trị trạng thái V(s) và hàm lợi thế hành động A(s, a):</w:t>
      </w:r>
    </w:p>
    <w:p>
      <w:pPr>
        <w:jc w:val="center"/>
      </w:pPr>
      <w:r>
        <w:rPr>
          <w:b/>
        </w:rPr>
        <w:t xml:space="preserve">Q(s, a) = V(s) + [ A(s, a) - (1/|A|) · </w:t>
      </w:r>
      <w:r>
        <w:rPr>
          <w:b/>
        </w:rPr>
        <w:t>∑</w:t>
      </w:r>
      <w:r>
        <w:rPr>
          <w:vertAlign w:val="subscript"/>
        </w:rPr>
        <w:t>a'∈A</w:t>
      </w:r>
      <w:r>
        <w:rPr>
          <w:b/>
        </w:rPr>
        <w:t xml:space="preserve"> A(s, a') ]       (2.1)</w:t>
      </w:r>
    </w:p>
    <w:p>
      <w:pPr>
        <w:pStyle w:val="Heading3"/>
      </w:pPr>
      <w:r>
        <w:t>2.3.1. Trạng thái đầu vào (State Representation)</w:t>
      </w:r>
    </w:p>
    <w:p>
      <w:r>
        <w:t>Vector trạng thái đầu vào 12 chiều mô tả tiến trình tối ưu bao gồm: tỷ lệ vòng lặp trì trệ, khoảng cách chi phí so với best, tỷ số nhiệt độ hiện tại, tần suất cải thiện gần đây, tỷ lệ xe hiện hành, độ lệch độ dài tuyến, độ lệch tải trọng, tỷ lệ khung thời gian chặt, thời gian đệm trung bình, hệ số lấp đầy tải xe, tỷ lệ lấp đầy Route Pool và tiến trình thời gian thực.</w:t>
      </w:r>
    </w:p>
    <w:p>
      <w:pPr>
        <w:pStyle w:val="Heading3"/>
      </w:pPr>
      <w:r>
        <w:t>2.3.2. Hàm phần thưởng (Shaped Reward)</w:t>
      </w:r>
    </w:p>
    <w:p>
      <w:r>
        <w:t>Sử dụng cơ chế áp lực đội xe lambda(s) phối hợp cùng thế năng thích ứng để hướng mạng nơ-ron ưu tiên hành động giảm xe trước khi giảm quãng đường di chuyển:</w:t>
      </w:r>
    </w:p>
    <w:p>
      <w:pPr>
        <w:jc w:val="center"/>
      </w:pPr>
      <w:r>
        <w:rPr>
          <w:b/>
        </w:rPr>
        <w:t>λ(s) = 1 / [ 1 + exp( -8.0 · (NV - NV</w:t>
      </w:r>
      <w:r>
        <w:rPr>
          <w:vertAlign w:val="subscript"/>
        </w:rPr>
        <w:t>best</w:t>
      </w:r>
      <w:r>
        <w:rPr>
          <w:b/>
        </w:rPr>
        <w:t>) / NV</w:t>
      </w:r>
      <w:r>
        <w:rPr>
          <w:vertAlign w:val="subscript"/>
        </w:rPr>
        <w:t>init</w:t>
      </w:r>
      <w:r>
        <w:rPr>
          <w:b/>
        </w:rPr>
        <w:t>) ]       (2.2)</w:t>
      </w:r>
    </w:p>
    <w:p>
      <w:pPr>
        <w:jc w:val="center"/>
      </w:pPr>
      <w:r>
        <w:rPr>
          <w:b/>
        </w:rPr>
        <w:t>Pot(s) = -λ(s) · γ</w:t>
      </w:r>
      <w:r>
        <w:rPr>
          <w:vertAlign w:val="subscript"/>
        </w:rPr>
        <w:t>nv</w:t>
      </w:r>
      <w:r>
        <w:rPr>
          <w:b/>
        </w:rPr>
        <w:t xml:space="preserve"> · max(NV - NV</w:t>
      </w:r>
      <w:r>
        <w:rPr>
          <w:vertAlign w:val="subscript"/>
        </w:rPr>
        <w:t>best</w:t>
      </w:r>
      <w:r>
        <w:rPr>
          <w:b/>
        </w:rPr>
        <w:t>, 0)/NV</w:t>
      </w:r>
      <w:r>
        <w:rPr>
          <w:vertAlign w:val="subscript"/>
        </w:rPr>
        <w:t>init</w:t>
      </w:r>
      <w:r>
        <w:rPr>
          <w:b/>
        </w:rPr>
        <w:t xml:space="preserve"> - (1 - λ(s)) · γ</w:t>
      </w:r>
      <w:r>
        <w:rPr>
          <w:vertAlign w:val="subscript"/>
        </w:rPr>
        <w:t>cost</w:t>
      </w:r>
      <w:r>
        <w:rPr>
          <w:b/>
        </w:rPr>
        <w:t xml:space="preserve"> · (cost - cost</w:t>
      </w:r>
      <w:r>
        <w:rPr>
          <w:vertAlign w:val="subscript"/>
        </w:rPr>
        <w:t>best</w:t>
      </w:r>
      <w:r>
        <w:rPr>
          <w:b/>
        </w:rPr>
        <w:t>)/cost</w:t>
      </w:r>
      <w:r>
        <w:rPr>
          <w:vertAlign w:val="subscript"/>
        </w:rPr>
        <w:t>best</w:t>
      </w:r>
      <w:r>
        <w:rPr>
          <w:b/>
        </w:rPr>
        <w:t xml:space="preserve"> · 100       (2.3)</w:t>
      </w:r>
    </w:p>
    <w:p>
      <w:pPr>
        <w:jc w:val="center"/>
      </w:pPr>
      <w:r>
        <w:rPr>
          <w:b/>
        </w:rPr>
        <w:t>Reward = β</w:t>
      </w:r>
      <w:r>
        <w:rPr>
          <w:vertAlign w:val="subscript"/>
        </w:rPr>
        <w:t>scale</w:t>
      </w:r>
      <w:r>
        <w:rPr>
          <w:b/>
        </w:rPr>
        <w:t xml:space="preserve"> · Base_Reward + ( γ · Pot(s') - Pot(s) )       (2.4)</w:t>
      </w:r>
    </w:p>
    <w:p>
      <w:pPr>
        <w:pStyle w:val="Heading3"/>
      </w:pPr>
      <w:r>
        <w:t>2.4. Điều khiển toán tử cấp thấp (Operator Controller)</w:t>
      </w:r>
    </w:p>
    <w:p>
      <w:r>
        <w:t>Mạng DDQN thứ hai nhận trạng thái 15 chiều và dự báo giá trị Q cho 40 tổ hợp hành động toán tử ALNS. Để tối ưu hóa sự cân bằng giữa Khai thác và Khám phá, giá trị Q dự báo được kết hợp tuyến tính với Thompson Bandit và bộ gia tăng UCB:</w:t>
      </w:r>
    </w:p>
    <w:p>
      <w:pPr>
        <w:jc w:val="center"/>
      </w:pPr>
      <w:r>
        <w:rPr>
          <w:b/>
        </w:rPr>
        <w:t>Q</w:t>
      </w:r>
      <w:r>
        <w:rPr>
          <w:vertAlign w:val="subscript"/>
        </w:rPr>
        <w:t>final</w:t>
      </w:r>
      <w:r>
        <w:rPr>
          <w:b/>
        </w:rPr>
        <w:t>(s, a) = Q</w:t>
      </w:r>
      <w:r>
        <w:rPr>
          <w:vertAlign w:val="subscript"/>
        </w:rPr>
        <w:t>net</w:t>
      </w:r>
      <w:r>
        <w:rPr>
          <w:b/>
        </w:rPr>
        <w:t>(s, a) + θ</w:t>
      </w:r>
      <w:r>
        <w:rPr>
          <w:vertAlign w:val="subscript"/>
        </w:rPr>
        <w:t>prior</w:t>
      </w:r>
      <w:r>
        <w:rPr>
          <w:b/>
        </w:rPr>
        <w:t xml:space="preserve"> · ln(P</w:t>
      </w:r>
      <w:r>
        <w:rPr>
          <w:vertAlign w:val="subscript"/>
        </w:rPr>
        <w:t>prior</w:t>
      </w:r>
      <w:r>
        <w:rPr>
          <w:b/>
        </w:rPr>
        <w:t>(a)) + θ</w:t>
      </w:r>
      <w:r>
        <w:rPr>
          <w:vertAlign w:val="subscript"/>
        </w:rPr>
        <w:t>bandit</w:t>
      </w:r>
      <w:r>
        <w:rPr>
          <w:b/>
        </w:rPr>
        <w:t xml:space="preserve"> · P</w:t>
      </w:r>
      <w:r>
        <w:rPr>
          <w:vertAlign w:val="subscript"/>
        </w:rPr>
        <w:t>bandit</w:t>
      </w:r>
      <w:r>
        <w:rPr>
          <w:b/>
        </w:rPr>
        <w:t>(a) + θ</w:t>
      </w:r>
      <w:r>
        <w:rPr>
          <w:vertAlign w:val="subscript"/>
        </w:rPr>
        <w:t>ucb</w:t>
      </w:r>
      <w:r>
        <w:rPr>
          <w:b/>
        </w:rPr>
        <w:t xml:space="preserve"> · UCB(a)       (2.5)</w:t>
      </w:r>
    </w:p>
    <w:p>
      <w:pPr>
        <w:pStyle w:val="Heading3"/>
      </w:pPr>
      <w:r>
        <w:t>2.5. Học điều kiện chấp nhận (Learned Acceptance Criterion - LAC)</w:t>
      </w:r>
    </w:p>
    <w:p>
      <w:r>
        <w:t>LAC thay thế xác suất Simulated Annealing bằng mạng phân loại nhị phân được huấn luyện trực tuyến bằng thuật toán Weighted BCE. Mạng nhận đầu vào là vector đặc trưng s_lac chứa chênh lệch chi phí, nhiệt độ hiện tại, số bước trì trệ, chênh lệch số xe ứng viên, tiến trình vòng lặp và xác suất cổ điển Metropolis (metro_p) để đưa ra xác suất chấp nhận giải pháp tối ưu.</w:t>
      </w:r>
    </w:p>
    <w:p>
      <w:pPr>
        <w:pStyle w:val="Heading3"/>
      </w:pPr>
      <w:r>
        <w:t>2.6. Tái tổ hợp bằng Route Pool và Set Partitioning</w:t>
      </w:r>
    </w:p>
    <w:p>
      <w:r>
        <w:t>Route Pool lưu trữ các tuyến đường tốt nhất. Định kỳ, mô hình Phân hoạch tập hợp (Set Partitioning) được gọi để tìm kiếm tổ hợp tuyến đường tối ưu nhất bao phủ toàn bộ khách hàng mà không bị trùng lặp:</w:t>
      </w:r>
    </w:p>
    <w:p>
      <w:pPr>
        <w:jc w:val="center"/>
      </w:pPr>
      <w:r>
        <w:rPr>
          <w:b/>
        </w:rPr>
        <w:t xml:space="preserve">min  </w:t>
      </w:r>
      <w:r>
        <w:rPr>
          <w:b/>
        </w:rPr>
        <w:t>∑</w:t>
      </w:r>
      <w:r>
        <w:rPr>
          <w:vertAlign w:val="subscript"/>
        </w:rPr>
        <w:t>j∈R_pool</w:t>
      </w:r>
      <w:r>
        <w:rPr>
          <w:b/>
        </w:rPr>
        <w:t xml:space="preserve"> ( P</w:t>
      </w:r>
      <w:r>
        <w:rPr>
          <w:vertAlign w:val="subscript"/>
        </w:rPr>
        <w:t>vehicle</w:t>
      </w:r>
      <w:r>
        <w:rPr>
          <w:b/>
        </w:rPr>
        <w:t xml:space="preserve"> + c</w:t>
      </w:r>
      <w:r>
        <w:rPr>
          <w:vertAlign w:val="subscript"/>
        </w:rPr>
        <w:t>j</w:t>
      </w:r>
      <w:r>
        <w:rPr>
          <w:b/>
        </w:rPr>
        <w:t xml:space="preserve"> ) · y</w:t>
      </w:r>
      <w:r>
        <w:rPr>
          <w:vertAlign w:val="subscript"/>
        </w:rPr>
        <w:t>j</w:t>
      </w:r>
      <w:r>
        <w:rPr>
          <w:b/>
        </w:rPr>
        <w:t xml:space="preserve">       (2.8)</w:t>
      </w:r>
    </w:p>
    <w:p>
      <w:pPr>
        <w:jc w:val="center"/>
      </w:pPr>
      <w:r>
        <w:rPr>
          <w:b/>
        </w:rPr>
        <w:t xml:space="preserve">s.t.  </w:t>
      </w:r>
      <w:r>
        <w:rPr>
          <w:b/>
        </w:rPr>
        <w:t>∑</w:t>
      </w:r>
      <w:r>
        <w:rPr>
          <w:vertAlign w:val="subscript"/>
        </w:rPr>
        <w:t>j∈R_pool</w:t>
      </w:r>
      <w:r>
        <w:rPr>
          <w:b/>
        </w:rPr>
        <w:t xml:space="preserve"> a</w:t>
      </w:r>
      <w:r>
        <w:rPr>
          <w:vertAlign w:val="subscript"/>
        </w:rPr>
        <w:t>ij</w:t>
      </w:r>
      <w:r>
        <w:rPr>
          <w:b/>
        </w:rPr>
        <w:t xml:space="preserve"> · y</w:t>
      </w:r>
      <w:r>
        <w:rPr>
          <w:vertAlign w:val="subscript"/>
        </w:rPr>
        <w:t>j</w:t>
      </w:r>
      <w:r>
        <w:rPr>
          <w:b/>
        </w:rPr>
        <w:t xml:space="preserve"> = 1,    ∀i ∈ C       (2.9)</w:t>
      </w:r>
    </w:p>
    <w:p>
      <w:pPr>
        <w:jc w:val="center"/>
      </w:pPr>
      <w:r>
        <w:rPr>
          <w:b/>
        </w:rPr>
        <w:t>∑</w:t>
      </w:r>
      <w:r>
        <w:rPr>
          <w:vertAlign w:val="subscript"/>
        </w:rPr>
        <w:t>j∈R_pool</w:t>
      </w:r>
      <w:r>
        <w:rPr>
          <w:b/>
        </w:rPr>
        <w:t xml:space="preserve"> y</w:t>
      </w:r>
      <w:r>
        <w:rPr>
          <w:vertAlign w:val="subscript"/>
        </w:rPr>
        <w:t>j</w:t>
      </w:r>
      <w:r>
        <w:rPr>
          <w:b/>
        </w:rPr>
        <w:t xml:space="preserve"> ≤ NV</w:t>
      </w:r>
      <w:r>
        <w:rPr>
          <w:vertAlign w:val="subscript"/>
        </w:rPr>
        <w:t>ceiling</w:t>
      </w:r>
      <w:r>
        <w:rPr>
          <w:b/>
        </w:rPr>
        <w:t xml:space="preserve">       (2.10)</w:t>
      </w:r>
    </w:p>
    <w:p>
      <w:pPr>
        <w:pStyle w:val="Heading3"/>
      </w:pPr>
      <w:r>
        <w:t>2.7. Chi tiết các toán tử phá hủy và tái cấu trúc</w:t>
      </w:r>
    </w:p>
    <w:p>
      <w:pPr>
        <w:pStyle w:val="Heading3"/>
      </w:pPr>
      <w:r>
        <w:t>2.7.1. Hệ thống 8 toán tử phá hủy (Destroy Operators)</w:t>
      </w:r>
    </w:p>
    <w:p>
      <w:r>
        <w:t>1. op_random: Loại bỏ ngẫu nhiên khách hàng.</w:t>
        <w:br/>
        <w:t>2. op_worst: Loại bỏ khách hàng dựa trên chi phí tiết kiệm quãng đường trực tiếp d_prev,i + d_i,nxt - d_prev,nxt sử dụng lũy thừa p=3.0.</w:t>
        <w:br/>
        <w:t>3. op_shaw: Phá hủy dựa trên độ tương đồng Shaw về khoảng cách địa lý, khung thời gian giao nhận và nhu cầu hàng hóa (Equation 2.12).</w:t>
        <w:br/>
        <w:t>4. op_route_portion_removal: Xóa một đoạn liên tục của tuyến dựa trên centroid và áp lực thời gian.</w:t>
        <w:br/>
        <w:t>5. op_tw_urgent: Ưu tiên loại bỏ các khách hàng có khung thời gian hẹp nhất.</w:t>
        <w:br/>
        <w:t>6. op_route_eliminate: Chọn xóa hoàn toàn tuyến đường ngắn hoặc chịu tải thấp nhất để trực tiếp giảm xe.</w:t>
        <w:br/>
        <w:t>7. op_route_dispersion_eliminate: Xóa tuyến có độ phân tán địa lý cao nhất.</w:t>
        <w:br/>
        <w:t>8. op_cross_route_shaw: Phá hủy Shaw có bổ sung hệ số liên tuyến để kích thích trao đổi khách hàng.</w:t>
      </w:r>
    </w:p>
    <w:p>
      <w:pPr>
        <w:pStyle w:val="Heading3"/>
      </w:pPr>
      <w:r>
        <w:t>2.7.2. Hệ thống 5 toán tử sửa chữa (Repair Operators)</w:t>
      </w:r>
    </w:p>
    <w:p>
      <w:r>
        <w:t>1. op_greedy: Chèn tham lam vào vị trí có chi phí tăng thêm nhỏ nhất.</w:t>
        <w:br/>
        <w:t>2. op_regret_2: Sử dụng chênh lệch chi phí chèn tốt nhất và tốt thứ hai (regret-2) để quyết định thứ tự.</w:t>
        <w:br/>
        <w:t>3. op_regret_3: Mở rộng regret trên 3 vị trí chèn tốt nhất sử dụng regret tổng khoảng cách chênh lệch.</w:t>
        <w:br/>
        <w:t>4. op_tw_greedy: Chèn tham lam ưu tiên duyệt khách hàng có khung thời gian chặt trước.</w:t>
        <w:br/>
        <w:t>5. op_fts_greedy: Sửa chữa bằng thuật toán FTS chèn khách hàng dựa trên chi phí khoảng cách và bảo toàn thời gian đệm Forward Time Slack của các khách hàng phía sau trên tuyến (Equations 2.13 - 2.15).</w:t>
      </w:r>
    </w:p>
    <w:p>
      <w:pPr>
        <w:pStyle w:val="Heading3"/>
      </w:pPr>
      <w:r>
        <w:t>2.8. Các toán tử tìm kiếm cục bộ và giảm xe chủ động</w:t>
      </w:r>
    </w:p>
    <w:p>
      <w:r>
        <w:t>Hệ thống tích hợp các toán tử tìm kiếm cục bộ (Local Search) bao gồm: 2-opt, Relocate, Swap và Cross-Exchange sử dụng bộ lọc granular radius. Ngoài ra, giải thuật loại bỏ tuyến đường chủ động (_iterative_route_elimination) tìm cách giải phóng tuyến đường nhỏ nhất và phân phối các khách hàng của nó vào các tuyến khác để hạ số lượng phương tiện xuống tối đa.</w:t>
      </w:r>
    </w:p>
    <w:p>
      <w:pPr>
        <w:pStyle w:val="Heading2"/>
      </w:pPr>
      <w:r>
        <w:t>3. QUÁ TRÌNH THỰC NGHIỆM VÀ KẾT QUẢ</w:t>
      </w:r>
    </w:p>
    <w:p>
      <w:pPr>
        <w:pStyle w:val="Heading3"/>
      </w:pPr>
      <w:r>
        <w:t>3.1. Thiết lập thực nghiệm</w:t>
      </w:r>
    </w:p>
    <w:p>
      <w:r>
        <w:t>Môi trường thực nghiệm được thiết lập trên vi xử lý Apple M1 (Apple Silicon, 8 nhân), 16 GB bộ nhớ thống nhất (unified memory), lập trình bằng Python 3.12, PyTorch và thư viện tăng tốc Numba JIT. Bộ dữ liệu chuẩn Solomon 100 khách hàng (lớp RC1 và RC2) được sử dụng để đánh giá hiệu năng với n_runs = 5.</w:t>
      </w:r>
    </w:p>
    <w:p>
      <w:pPr>
        <w:pStyle w:val="Heading3"/>
      </w:pPr>
      <w:r>
        <w:t>3.2. Kết quả so sánh trên Solomon chính</w:t>
      </w:r>
    </w:p>
    <w:p>
      <w:r>
        <w:t>Dưới đây là kết quả so sánh tổng hợp hiệu năng trung bình của thuật toán đề xuất Hybrid-DDQN so với ALNS-Base, Hybrid-Fixed, Hybrid-Rule và Google OR-Tools:</w:t>
      </w:r>
    </w:p>
    <w:p>
      <w:r>
        <w:rPr>
          <w:b/>
        </w:rPr>
        <w:t>##### Bảng 3.1: So sánh tổng hợp hiệu năng trung bình theo lớp dữ liệu Solomon với cấu hình 1200 vòng lặp</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b/>
                <w:sz w:val="22"/>
              </w:rPr>
              <w:t>Lớp dữ liệu</w:t>
            </w:r>
          </w:p>
        </w:tc>
        <w:tc>
          <w:tcPr>
            <w:tcW w:type="dxa" w:w="1512"/>
          </w:tcPr>
          <w:p>
            <w:pPr>
              <w:jc w:val="center"/>
            </w:pPr>
            <w:r>
              <w:rPr>
                <w:b/>
                <w:sz w:val="22"/>
              </w:rPr>
              <w:t>Thuật toán</w:t>
            </w:r>
          </w:p>
        </w:tc>
        <w:tc>
          <w:tcPr>
            <w:tcW w:type="dxa" w:w="1512"/>
          </w:tcPr>
          <w:p>
            <w:pPr>
              <w:jc w:val="center"/>
            </w:pPr>
            <w:r>
              <w:rPr>
                <w:b/>
                <w:sz w:val="22"/>
              </w:rPr>
              <w:t>Số xe trung bình (NV)</w:t>
            </w:r>
          </w:p>
        </w:tc>
        <w:tc>
          <w:tcPr>
            <w:tcW w:type="dxa" w:w="1512"/>
          </w:tcPr>
          <w:p>
            <w:pPr>
              <w:jc w:val="center"/>
            </w:pPr>
            <w:r>
              <w:rPr>
                <w:b/>
                <w:sz w:val="22"/>
              </w:rPr>
              <w:t>Khoảng cách (TD)</w:t>
            </w:r>
          </w:p>
        </w:tc>
        <w:tc>
          <w:tcPr>
            <w:tcW w:type="dxa" w:w="1512"/>
          </w:tcPr>
          <w:p>
            <w:pPr>
              <w:jc w:val="center"/>
            </w:pPr>
            <w:r>
              <w:rPr>
                <w:b/>
                <w:sz w:val="22"/>
              </w:rPr>
              <w:t>Độ lệch Gap%</w:t>
            </w:r>
          </w:p>
        </w:tc>
        <w:tc>
          <w:tcPr>
            <w:tcW w:type="dxa" w:w="1512"/>
          </w:tcPr>
          <w:p>
            <w:pPr>
              <w:jc w:val="center"/>
            </w:pPr>
            <w:r>
              <w:rPr>
                <w:b/>
                <w:sz w:val="22"/>
              </w:rPr>
              <w:t>Thời gian chạy (s)</w:t>
            </w:r>
          </w:p>
        </w:tc>
      </w:tr>
      <w:tr>
        <w:tc>
          <w:tcPr>
            <w:tcW w:type="dxa" w:w="1512"/>
          </w:tcPr>
          <w:p>
            <w:pPr>
              <w:jc w:val="center"/>
            </w:pPr>
            <w:r>
              <w:rPr>
                <w:sz w:val="20"/>
              </w:rPr>
              <w:t>RC1</w:t>
            </w:r>
          </w:p>
        </w:tc>
        <w:tc>
          <w:tcPr>
            <w:tcW w:type="dxa" w:w="1512"/>
          </w:tcPr>
          <w:p>
            <w:pPr>
              <w:jc w:val="center"/>
            </w:pPr>
            <w:r>
              <w:rPr>
                <w:sz w:val="20"/>
              </w:rPr>
              <w:t>ALNS-Base</w:t>
            </w:r>
          </w:p>
        </w:tc>
        <w:tc>
          <w:tcPr>
            <w:tcW w:type="dxa" w:w="1512"/>
          </w:tcPr>
          <w:p>
            <w:pPr>
              <w:jc w:val="center"/>
            </w:pPr>
            <w:r>
              <w:rPr>
                <w:sz w:val="20"/>
              </w:rPr>
              <w:t>12.575</w:t>
            </w:r>
          </w:p>
        </w:tc>
        <w:tc>
          <w:tcPr>
            <w:tcW w:type="dxa" w:w="1512"/>
          </w:tcPr>
          <w:p>
            <w:pPr>
              <w:jc w:val="center"/>
            </w:pPr>
            <w:r>
              <w:rPr>
                <w:sz w:val="20"/>
              </w:rPr>
              <w:t>1327.91</w:t>
            </w:r>
          </w:p>
        </w:tc>
        <w:tc>
          <w:tcPr>
            <w:tcW w:type="dxa" w:w="1512"/>
          </w:tcPr>
          <w:p>
            <w:pPr>
              <w:jc w:val="center"/>
            </w:pPr>
            <w:r>
              <w:rPr>
                <w:sz w:val="20"/>
              </w:rPr>
              <w:t>+1.909%</w:t>
            </w:r>
          </w:p>
        </w:tc>
        <w:tc>
          <w:tcPr>
            <w:tcW w:type="dxa" w:w="1512"/>
          </w:tcPr>
          <w:p>
            <w:pPr>
              <w:jc w:val="center"/>
            </w:pPr>
            <w:r>
              <w:rPr>
                <w:sz w:val="20"/>
              </w:rPr>
              <w:t>19.2</w:t>
            </w:r>
          </w:p>
        </w:tc>
      </w:tr>
      <w:tr>
        <w:tc>
          <w:tcPr>
            <w:tcW w:type="dxa" w:w="1512"/>
          </w:tcPr>
          <w:p>
            <w:pPr>
              <w:jc w:val="center"/>
            </w:pPr>
            <w:r>
              <w:rPr>
                <w:sz w:val="20"/>
              </w:rPr>
              <w:t>RC1</w:t>
            </w:r>
          </w:p>
        </w:tc>
        <w:tc>
          <w:tcPr>
            <w:tcW w:type="dxa" w:w="1512"/>
          </w:tcPr>
          <w:p>
            <w:pPr>
              <w:jc w:val="center"/>
            </w:pPr>
            <w:r>
              <w:rPr>
                <w:sz w:val="20"/>
              </w:rPr>
              <w:t>Hybrid-Fixed</w:t>
            </w:r>
          </w:p>
        </w:tc>
        <w:tc>
          <w:tcPr>
            <w:tcW w:type="dxa" w:w="1512"/>
          </w:tcPr>
          <w:p>
            <w:pPr>
              <w:jc w:val="center"/>
            </w:pPr>
            <w:r>
              <w:rPr>
                <w:sz w:val="20"/>
              </w:rPr>
              <w:t>12.300</w:t>
            </w:r>
          </w:p>
        </w:tc>
        <w:tc>
          <w:tcPr>
            <w:tcW w:type="dxa" w:w="1512"/>
          </w:tcPr>
          <w:p>
            <w:pPr>
              <w:jc w:val="center"/>
            </w:pPr>
            <w:r>
              <w:rPr>
                <w:sz w:val="20"/>
              </w:rPr>
              <w:t>1302.48</w:t>
            </w:r>
          </w:p>
        </w:tc>
        <w:tc>
          <w:tcPr>
            <w:tcW w:type="dxa" w:w="1512"/>
          </w:tcPr>
          <w:p>
            <w:pPr>
              <w:jc w:val="center"/>
            </w:pPr>
            <w:r>
              <w:rPr>
                <w:sz w:val="20"/>
              </w:rPr>
              <w:t>-0.055%</w:t>
            </w:r>
          </w:p>
        </w:tc>
        <w:tc>
          <w:tcPr>
            <w:tcW w:type="dxa" w:w="1512"/>
          </w:tcPr>
          <w:p>
            <w:pPr>
              <w:jc w:val="center"/>
            </w:pPr>
            <w:r>
              <w:rPr>
                <w:sz w:val="20"/>
              </w:rPr>
              <w:t>36.7</w:t>
            </w:r>
          </w:p>
        </w:tc>
      </w:tr>
      <w:tr>
        <w:tc>
          <w:tcPr>
            <w:tcW w:type="dxa" w:w="1512"/>
          </w:tcPr>
          <w:p>
            <w:pPr>
              <w:jc w:val="center"/>
            </w:pPr>
            <w:r>
              <w:rPr>
                <w:sz w:val="20"/>
              </w:rPr>
              <w:t>RC1</w:t>
            </w:r>
          </w:p>
        </w:tc>
        <w:tc>
          <w:tcPr>
            <w:tcW w:type="dxa" w:w="1512"/>
          </w:tcPr>
          <w:p>
            <w:pPr>
              <w:jc w:val="center"/>
            </w:pPr>
            <w:r>
              <w:rPr>
                <w:sz w:val="20"/>
              </w:rPr>
              <w:t>Hybrid-Rule</w:t>
            </w:r>
          </w:p>
        </w:tc>
        <w:tc>
          <w:tcPr>
            <w:tcW w:type="dxa" w:w="1512"/>
          </w:tcPr>
          <w:p>
            <w:pPr>
              <w:jc w:val="center"/>
            </w:pPr>
            <w:r>
              <w:rPr>
                <w:sz w:val="20"/>
              </w:rPr>
              <w:t>12.250</w:t>
            </w:r>
          </w:p>
        </w:tc>
        <w:tc>
          <w:tcPr>
            <w:tcW w:type="dxa" w:w="1512"/>
          </w:tcPr>
          <w:p>
            <w:pPr>
              <w:jc w:val="center"/>
            </w:pPr>
            <w:r>
              <w:rPr>
                <w:sz w:val="20"/>
              </w:rPr>
              <w:t>1298.41</w:t>
            </w:r>
          </w:p>
        </w:tc>
        <w:tc>
          <w:tcPr>
            <w:tcW w:type="dxa" w:w="1512"/>
          </w:tcPr>
          <w:p>
            <w:pPr>
              <w:jc w:val="center"/>
            </w:pPr>
            <w:r>
              <w:rPr>
                <w:sz w:val="20"/>
              </w:rPr>
              <w:t>-0.368%</w:t>
            </w:r>
          </w:p>
        </w:tc>
        <w:tc>
          <w:tcPr>
            <w:tcW w:type="dxa" w:w="1512"/>
          </w:tcPr>
          <w:p>
            <w:pPr>
              <w:jc w:val="center"/>
            </w:pPr>
            <w:r>
              <w:rPr>
                <w:sz w:val="20"/>
              </w:rPr>
              <w:t>36.6</w:t>
            </w:r>
          </w:p>
        </w:tc>
      </w:tr>
      <w:tr>
        <w:tc>
          <w:tcPr>
            <w:tcW w:type="dxa" w:w="1512"/>
          </w:tcPr>
          <w:p>
            <w:pPr>
              <w:jc w:val="center"/>
            </w:pPr>
            <w:r>
              <w:rPr>
                <w:sz w:val="20"/>
              </w:rPr>
              <w:t>RC1</w:t>
            </w:r>
          </w:p>
        </w:tc>
        <w:tc>
          <w:tcPr>
            <w:tcW w:type="dxa" w:w="1512"/>
          </w:tcPr>
          <w:p>
            <w:pPr>
              <w:jc w:val="center"/>
            </w:pPr>
            <w:r>
              <w:rPr>
                <w:sz w:val="20"/>
              </w:rPr>
              <w:t>Hybrid-DDQN (Đề xuất)</w:t>
            </w:r>
          </w:p>
        </w:tc>
        <w:tc>
          <w:tcPr>
            <w:tcW w:type="dxa" w:w="1512"/>
          </w:tcPr>
          <w:p>
            <w:pPr>
              <w:jc w:val="center"/>
            </w:pPr>
            <w:r>
              <w:rPr>
                <w:sz w:val="20"/>
              </w:rPr>
              <w:t>12.350</w:t>
            </w:r>
          </w:p>
        </w:tc>
        <w:tc>
          <w:tcPr>
            <w:tcW w:type="dxa" w:w="1512"/>
          </w:tcPr>
          <w:p>
            <w:pPr>
              <w:jc w:val="center"/>
            </w:pPr>
            <w:r>
              <w:rPr>
                <w:sz w:val="20"/>
              </w:rPr>
              <w:t>1298.54</w:t>
            </w:r>
          </w:p>
        </w:tc>
        <w:tc>
          <w:tcPr>
            <w:tcW w:type="dxa" w:w="1512"/>
          </w:tcPr>
          <w:p>
            <w:pPr>
              <w:jc w:val="center"/>
            </w:pPr>
            <w:r>
              <w:rPr>
                <w:sz w:val="20"/>
              </w:rPr>
              <w:t>-0.358%</w:t>
            </w:r>
          </w:p>
        </w:tc>
        <w:tc>
          <w:tcPr>
            <w:tcW w:type="dxa" w:w="1512"/>
          </w:tcPr>
          <w:p>
            <w:pPr>
              <w:jc w:val="center"/>
            </w:pPr>
            <w:r>
              <w:rPr>
                <w:sz w:val="20"/>
              </w:rPr>
              <w:t>40.3</w:t>
            </w:r>
          </w:p>
        </w:tc>
      </w:tr>
      <w:tr>
        <w:tc>
          <w:tcPr>
            <w:tcW w:type="dxa" w:w="1512"/>
          </w:tcPr>
          <w:p>
            <w:pPr>
              <w:jc w:val="center"/>
            </w:pPr>
            <w:r>
              <w:rPr>
                <w:sz w:val="20"/>
              </w:rPr>
              <w:t>RC1</w:t>
            </w:r>
          </w:p>
        </w:tc>
        <w:tc>
          <w:tcPr>
            <w:tcW w:type="dxa" w:w="1512"/>
          </w:tcPr>
          <w:p>
            <w:pPr>
              <w:jc w:val="center"/>
            </w:pPr>
            <w:r>
              <w:rPr>
                <w:sz w:val="20"/>
              </w:rPr>
              <w:t>OR-Tools</w:t>
            </w:r>
          </w:p>
        </w:tc>
        <w:tc>
          <w:tcPr>
            <w:tcW w:type="dxa" w:w="1512"/>
          </w:tcPr>
          <w:p>
            <w:pPr>
              <w:jc w:val="center"/>
            </w:pPr>
            <w:r>
              <w:rPr>
                <w:sz w:val="20"/>
              </w:rPr>
              <w:t>13.625</w:t>
            </w:r>
          </w:p>
        </w:tc>
        <w:tc>
          <w:tcPr>
            <w:tcW w:type="dxa" w:w="1512"/>
          </w:tcPr>
          <w:p>
            <w:pPr>
              <w:jc w:val="center"/>
            </w:pPr>
            <w:r>
              <w:rPr>
                <w:sz w:val="20"/>
              </w:rPr>
              <w:t>1343.35</w:t>
            </w:r>
          </w:p>
        </w:tc>
        <w:tc>
          <w:tcPr>
            <w:tcW w:type="dxa" w:w="1512"/>
          </w:tcPr>
          <w:p>
            <w:pPr>
              <w:jc w:val="center"/>
            </w:pPr>
            <w:r>
              <w:rPr>
                <w:sz w:val="20"/>
              </w:rPr>
              <w:t>+3.088%</w:t>
            </w:r>
          </w:p>
        </w:tc>
        <w:tc>
          <w:tcPr>
            <w:tcW w:type="dxa" w:w="1512"/>
          </w:tcPr>
          <w:p>
            <w:pPr>
              <w:jc w:val="center"/>
            </w:pPr>
            <w:r>
              <w:rPr>
                <w:sz w:val="20"/>
              </w:rPr>
              <w:t>60.1</w:t>
            </w:r>
          </w:p>
        </w:tc>
      </w:tr>
      <w:tr>
        <w:tc>
          <w:tcPr>
            <w:tcW w:type="dxa" w:w="1512"/>
          </w:tcPr>
          <w:p>
            <w:pPr>
              <w:jc w:val="center"/>
            </w:pPr>
            <w:r>
              <w:rPr>
                <w:sz w:val="20"/>
              </w:rPr>
              <w:t>RC2</w:t>
            </w:r>
          </w:p>
        </w:tc>
        <w:tc>
          <w:tcPr>
            <w:tcW w:type="dxa" w:w="1512"/>
          </w:tcPr>
          <w:p>
            <w:pPr>
              <w:jc w:val="center"/>
            </w:pPr>
            <w:r>
              <w:rPr>
                <w:sz w:val="20"/>
              </w:rPr>
              <w:t>ALNS-Base</w:t>
            </w:r>
          </w:p>
        </w:tc>
        <w:tc>
          <w:tcPr>
            <w:tcW w:type="dxa" w:w="1512"/>
          </w:tcPr>
          <w:p>
            <w:pPr>
              <w:jc w:val="center"/>
            </w:pPr>
            <w:r>
              <w:rPr>
                <w:sz w:val="20"/>
              </w:rPr>
              <w:t>3.500</w:t>
            </w:r>
          </w:p>
        </w:tc>
        <w:tc>
          <w:tcPr>
            <w:tcW w:type="dxa" w:w="1512"/>
          </w:tcPr>
          <w:p>
            <w:pPr>
              <w:jc w:val="center"/>
            </w:pPr>
            <w:r>
              <w:rPr>
                <w:sz w:val="20"/>
              </w:rPr>
              <w:t>1146.51</w:t>
            </w:r>
          </w:p>
        </w:tc>
        <w:tc>
          <w:tcPr>
            <w:tcW w:type="dxa" w:w="1512"/>
          </w:tcPr>
          <w:p>
            <w:pPr>
              <w:jc w:val="center"/>
            </w:pPr>
            <w:r>
              <w:rPr>
                <w:sz w:val="20"/>
              </w:rPr>
              <w:t>+2.774%</w:t>
            </w:r>
          </w:p>
        </w:tc>
        <w:tc>
          <w:tcPr>
            <w:tcW w:type="dxa" w:w="1512"/>
          </w:tcPr>
          <w:p>
            <w:pPr>
              <w:jc w:val="center"/>
            </w:pPr>
            <w:r>
              <w:rPr>
                <w:sz w:val="20"/>
              </w:rPr>
              <w:t>19.2</w:t>
            </w:r>
          </w:p>
        </w:tc>
      </w:tr>
      <w:tr>
        <w:tc>
          <w:tcPr>
            <w:tcW w:type="dxa" w:w="1512"/>
          </w:tcPr>
          <w:p>
            <w:pPr>
              <w:jc w:val="center"/>
            </w:pPr>
            <w:r>
              <w:rPr>
                <w:sz w:val="20"/>
              </w:rPr>
              <w:t>RC2</w:t>
            </w:r>
          </w:p>
        </w:tc>
        <w:tc>
          <w:tcPr>
            <w:tcW w:type="dxa" w:w="1512"/>
          </w:tcPr>
          <w:p>
            <w:pPr>
              <w:jc w:val="center"/>
            </w:pPr>
            <w:r>
              <w:rPr>
                <w:sz w:val="20"/>
              </w:rPr>
              <w:t>Hybrid-Fixed</w:t>
            </w:r>
          </w:p>
        </w:tc>
        <w:tc>
          <w:tcPr>
            <w:tcW w:type="dxa" w:w="1512"/>
          </w:tcPr>
          <w:p>
            <w:pPr>
              <w:jc w:val="center"/>
            </w:pPr>
            <w:r>
              <w:rPr>
                <w:sz w:val="20"/>
              </w:rPr>
              <w:t>3.400</w:t>
            </w:r>
          </w:p>
        </w:tc>
        <w:tc>
          <w:tcPr>
            <w:tcW w:type="dxa" w:w="1512"/>
          </w:tcPr>
          <w:p>
            <w:pPr>
              <w:jc w:val="center"/>
            </w:pPr>
            <w:r>
              <w:rPr>
                <w:sz w:val="20"/>
              </w:rPr>
              <w:t>1131.42</w:t>
            </w:r>
          </w:p>
        </w:tc>
        <w:tc>
          <w:tcPr>
            <w:tcW w:type="dxa" w:w="1512"/>
          </w:tcPr>
          <w:p>
            <w:pPr>
              <w:jc w:val="center"/>
            </w:pPr>
            <w:r>
              <w:rPr>
                <w:sz w:val="20"/>
              </w:rPr>
              <w:t>+1.425%</w:t>
            </w:r>
          </w:p>
        </w:tc>
        <w:tc>
          <w:tcPr>
            <w:tcW w:type="dxa" w:w="1512"/>
          </w:tcPr>
          <w:p>
            <w:pPr>
              <w:jc w:val="center"/>
            </w:pPr>
            <w:r>
              <w:rPr>
                <w:sz w:val="20"/>
              </w:rPr>
              <w:t>36.7</w:t>
            </w:r>
          </w:p>
        </w:tc>
      </w:tr>
      <w:tr>
        <w:tc>
          <w:tcPr>
            <w:tcW w:type="dxa" w:w="1512"/>
          </w:tcPr>
          <w:p>
            <w:pPr>
              <w:jc w:val="center"/>
            </w:pPr>
            <w:r>
              <w:rPr>
                <w:sz w:val="20"/>
              </w:rPr>
              <w:t>RC2</w:t>
            </w:r>
          </w:p>
        </w:tc>
        <w:tc>
          <w:tcPr>
            <w:tcW w:type="dxa" w:w="1512"/>
          </w:tcPr>
          <w:p>
            <w:pPr>
              <w:jc w:val="center"/>
            </w:pPr>
            <w:r>
              <w:rPr>
                <w:sz w:val="20"/>
              </w:rPr>
              <w:t>Hybrid-Rule</w:t>
            </w:r>
          </w:p>
        </w:tc>
        <w:tc>
          <w:tcPr>
            <w:tcW w:type="dxa" w:w="1512"/>
          </w:tcPr>
          <w:p>
            <w:pPr>
              <w:jc w:val="center"/>
            </w:pPr>
            <w:r>
              <w:rPr>
                <w:sz w:val="20"/>
              </w:rPr>
              <w:t>3.400</w:t>
            </w:r>
          </w:p>
        </w:tc>
        <w:tc>
          <w:tcPr>
            <w:tcW w:type="dxa" w:w="1512"/>
          </w:tcPr>
          <w:p>
            <w:pPr>
              <w:jc w:val="center"/>
            </w:pPr>
            <w:r>
              <w:rPr>
                <w:sz w:val="20"/>
              </w:rPr>
              <w:t>1128.16</w:t>
            </w:r>
          </w:p>
        </w:tc>
        <w:tc>
          <w:tcPr>
            <w:tcW w:type="dxa" w:w="1512"/>
          </w:tcPr>
          <w:p>
            <w:pPr>
              <w:jc w:val="center"/>
            </w:pPr>
            <w:r>
              <w:rPr>
                <w:sz w:val="20"/>
              </w:rPr>
              <w:t>+1.130%</w:t>
            </w:r>
          </w:p>
        </w:tc>
        <w:tc>
          <w:tcPr>
            <w:tcW w:type="dxa" w:w="1512"/>
          </w:tcPr>
          <w:p>
            <w:pPr>
              <w:jc w:val="center"/>
            </w:pPr>
            <w:r>
              <w:rPr>
                <w:sz w:val="20"/>
              </w:rPr>
              <w:t>36.6</w:t>
            </w:r>
          </w:p>
        </w:tc>
      </w:tr>
      <w:tr>
        <w:tc>
          <w:tcPr>
            <w:tcW w:type="dxa" w:w="1512"/>
          </w:tcPr>
          <w:p>
            <w:pPr>
              <w:jc w:val="center"/>
            </w:pPr>
            <w:r>
              <w:rPr>
                <w:sz w:val="20"/>
              </w:rPr>
              <w:t>RC2</w:t>
            </w:r>
          </w:p>
        </w:tc>
        <w:tc>
          <w:tcPr>
            <w:tcW w:type="dxa" w:w="1512"/>
          </w:tcPr>
          <w:p>
            <w:pPr>
              <w:jc w:val="center"/>
            </w:pPr>
            <w:r>
              <w:rPr>
                <w:sz w:val="20"/>
              </w:rPr>
              <w:t>Hybrid-DDQN (Đề xuất)</w:t>
            </w:r>
          </w:p>
        </w:tc>
        <w:tc>
          <w:tcPr>
            <w:tcW w:type="dxa" w:w="1512"/>
          </w:tcPr>
          <w:p>
            <w:pPr>
              <w:jc w:val="center"/>
            </w:pPr>
            <w:r>
              <w:rPr>
                <w:sz w:val="20"/>
              </w:rPr>
              <w:t>3.475</w:t>
            </w:r>
          </w:p>
        </w:tc>
        <w:tc>
          <w:tcPr>
            <w:tcW w:type="dxa" w:w="1512"/>
          </w:tcPr>
          <w:p>
            <w:pPr>
              <w:jc w:val="center"/>
            </w:pPr>
            <w:r>
              <w:rPr>
                <w:sz w:val="20"/>
              </w:rPr>
              <w:t>1125.55</w:t>
            </w:r>
          </w:p>
        </w:tc>
        <w:tc>
          <w:tcPr>
            <w:tcW w:type="dxa" w:w="1512"/>
          </w:tcPr>
          <w:p>
            <w:pPr>
              <w:jc w:val="center"/>
            </w:pPr>
            <w:r>
              <w:rPr>
                <w:sz w:val="20"/>
              </w:rPr>
              <w:t>+0.898%</w:t>
            </w:r>
          </w:p>
        </w:tc>
        <w:tc>
          <w:tcPr>
            <w:tcW w:type="dxa" w:w="1512"/>
          </w:tcPr>
          <w:p>
            <w:pPr>
              <w:jc w:val="center"/>
            </w:pPr>
            <w:r>
              <w:rPr>
                <w:sz w:val="20"/>
              </w:rPr>
              <w:t>40.3</w:t>
            </w:r>
          </w:p>
        </w:tc>
      </w:tr>
      <w:tr>
        <w:tc>
          <w:tcPr>
            <w:tcW w:type="dxa" w:w="1512"/>
          </w:tcPr>
          <w:p>
            <w:pPr>
              <w:jc w:val="center"/>
            </w:pPr>
            <w:r>
              <w:rPr>
                <w:sz w:val="20"/>
              </w:rPr>
              <w:t>RC2</w:t>
            </w:r>
          </w:p>
        </w:tc>
        <w:tc>
          <w:tcPr>
            <w:tcW w:type="dxa" w:w="1512"/>
          </w:tcPr>
          <w:p>
            <w:pPr>
              <w:jc w:val="center"/>
            </w:pPr>
            <w:r>
              <w:rPr>
                <w:sz w:val="20"/>
              </w:rPr>
              <w:t>OR-Tools</w:t>
            </w:r>
          </w:p>
        </w:tc>
        <w:tc>
          <w:tcPr>
            <w:tcW w:type="dxa" w:w="1512"/>
          </w:tcPr>
          <w:p>
            <w:pPr>
              <w:jc w:val="center"/>
            </w:pPr>
            <w:r>
              <w:rPr>
                <w:sz w:val="20"/>
              </w:rPr>
              <w:t>6.250</w:t>
            </w:r>
          </w:p>
        </w:tc>
        <w:tc>
          <w:tcPr>
            <w:tcW w:type="dxa" w:w="1512"/>
          </w:tcPr>
          <w:p>
            <w:pPr>
              <w:jc w:val="center"/>
            </w:pPr>
            <w:r>
              <w:rPr>
                <w:sz w:val="20"/>
              </w:rPr>
              <w:t>1034.02</w:t>
            </w:r>
          </w:p>
        </w:tc>
        <w:tc>
          <w:tcPr>
            <w:tcW w:type="dxa" w:w="1512"/>
          </w:tcPr>
          <w:p>
            <w:pPr>
              <w:jc w:val="center"/>
            </w:pPr>
            <w:r>
              <w:rPr>
                <w:sz w:val="20"/>
              </w:rPr>
              <w:t>-7.350%*</w:t>
            </w:r>
          </w:p>
        </w:tc>
        <w:tc>
          <w:tcPr>
            <w:tcW w:type="dxa" w:w="1512"/>
          </w:tcPr>
          <w:p>
            <w:pPr>
              <w:jc w:val="center"/>
            </w:pPr>
            <w:r>
              <w:rPr>
                <w:sz w:val="20"/>
              </w:rPr>
              <w:t>60.1</w:t>
            </w:r>
          </w:p>
        </w:tc>
      </w:tr>
    </w:tbl>
    <w:p>
      <w:r>
        <w:t>*Chú thích: OR-Tools đạt khoảng cách di chuyển ngắn hơn trên RC2 nhưng phải sử dụng tới 6.25 xe (so với 3.47 xe của Hybrid-DDQN), gây tốn kém chi phí vận hành đội xe đáng kể (NV inflated).</w:t>
      </w:r>
    </w:p>
    <w:p>
      <w:pPr>
        <w:pStyle w:val="Heading3"/>
      </w:pPr>
      <w:r>
        <w:t>3.3. Kết quả ngẫu nhiên hóa miền dữ liệu (Domain Randomization) và chuyển giao</w:t>
      </w:r>
    </w:p>
    <w:p>
      <w:r>
        <w:t>Nhằm kiểm tra tính bền vững của các chính sách DRL đã học, chúng tôi đánh giá mô hình được huấn luyện hoàn toàn trên thực thể nhân tạo ngẫu nhiên hóa miền dữ liệu và đóng băng trọng số khi chạy trực tiếp trên Solomon (Hybrid-DDQN-Transfer-DR):</w:t>
      </w:r>
    </w:p>
    <w:p>
      <w:r>
        <w:rPr>
          <w:b/>
        </w:rPr>
        <w:t>##### Bảng 3.2: Hiệu năng của mô hình chuyển giao đóng băng trọng số (Transfer-DR) với cấu hình 1200 vòng lặp</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Pr>
                <w:b/>
                <w:sz w:val="22"/>
              </w:rPr>
              <w:t>Lớp dữ liệu</w:t>
            </w:r>
          </w:p>
        </w:tc>
        <w:tc>
          <w:tcPr>
            <w:tcW w:type="dxa" w:w="1814"/>
          </w:tcPr>
          <w:p>
            <w:pPr>
              <w:jc w:val="center"/>
            </w:pPr>
            <w:r>
              <w:rPr>
                <w:b/>
                <w:sz w:val="22"/>
              </w:rPr>
              <w:t>Thuật toán</w:t>
            </w:r>
          </w:p>
        </w:tc>
        <w:tc>
          <w:tcPr>
            <w:tcW w:type="dxa" w:w="1814"/>
          </w:tcPr>
          <w:p>
            <w:pPr>
              <w:jc w:val="center"/>
            </w:pPr>
            <w:r>
              <w:rPr>
                <w:b/>
                <w:sz w:val="22"/>
              </w:rPr>
              <w:t>Số xe trung bình (NV)</w:t>
            </w:r>
          </w:p>
        </w:tc>
        <w:tc>
          <w:tcPr>
            <w:tcW w:type="dxa" w:w="1814"/>
          </w:tcPr>
          <w:p>
            <w:pPr>
              <w:jc w:val="center"/>
            </w:pPr>
            <w:r>
              <w:rPr>
                <w:b/>
                <w:sz w:val="22"/>
              </w:rPr>
              <w:t>Khoảng cách (TD)</w:t>
            </w:r>
          </w:p>
        </w:tc>
        <w:tc>
          <w:tcPr>
            <w:tcW w:type="dxa" w:w="1814"/>
          </w:tcPr>
          <w:p>
            <w:pPr>
              <w:jc w:val="center"/>
            </w:pPr>
            <w:r>
              <w:rPr>
                <w:b/>
                <w:sz w:val="22"/>
              </w:rPr>
              <w:t>Độ lệch Gap%</w:t>
            </w:r>
          </w:p>
        </w:tc>
      </w:tr>
      <w:tr>
        <w:tc>
          <w:tcPr>
            <w:tcW w:type="dxa" w:w="1814"/>
          </w:tcPr>
          <w:p>
            <w:pPr>
              <w:jc w:val="center"/>
            </w:pPr>
            <w:r>
              <w:rPr>
                <w:sz w:val="20"/>
              </w:rPr>
              <w:t>C1</w:t>
            </w:r>
          </w:p>
        </w:tc>
        <w:tc>
          <w:tcPr>
            <w:tcW w:type="dxa" w:w="1814"/>
          </w:tcPr>
          <w:p>
            <w:pPr>
              <w:jc w:val="center"/>
            </w:pPr>
            <w:r>
              <w:rPr>
                <w:sz w:val="20"/>
              </w:rPr>
              <w:t>Hybrid-DDQN-Transfer-DR</w:t>
            </w:r>
          </w:p>
        </w:tc>
        <w:tc>
          <w:tcPr>
            <w:tcW w:type="dxa" w:w="1814"/>
          </w:tcPr>
          <w:p>
            <w:pPr>
              <w:jc w:val="center"/>
            </w:pPr>
            <w:r>
              <w:rPr>
                <w:sz w:val="20"/>
              </w:rPr>
              <w:t>10.000</w:t>
            </w:r>
          </w:p>
        </w:tc>
        <w:tc>
          <w:tcPr>
            <w:tcW w:type="dxa" w:w="1814"/>
          </w:tcPr>
          <w:p>
            <w:pPr>
              <w:jc w:val="center"/>
            </w:pPr>
            <w:r>
              <w:rPr>
                <w:sz w:val="20"/>
              </w:rPr>
              <w:t>831.92</w:t>
            </w:r>
          </w:p>
        </w:tc>
        <w:tc>
          <w:tcPr>
            <w:tcW w:type="dxa" w:w="1814"/>
          </w:tcPr>
          <w:p>
            <w:pPr>
              <w:jc w:val="center"/>
            </w:pPr>
            <w:r>
              <w:rPr>
                <w:sz w:val="20"/>
              </w:rPr>
              <w:t>+0.360%</w:t>
            </w:r>
          </w:p>
        </w:tc>
      </w:tr>
      <w:tr>
        <w:tc>
          <w:tcPr>
            <w:tcW w:type="dxa" w:w="1814"/>
          </w:tcPr>
          <w:p>
            <w:pPr>
              <w:jc w:val="center"/>
            </w:pPr>
            <w:r>
              <w:rPr>
                <w:sz w:val="20"/>
              </w:rPr>
              <w:t>C2</w:t>
            </w:r>
          </w:p>
        </w:tc>
        <w:tc>
          <w:tcPr>
            <w:tcW w:type="dxa" w:w="1814"/>
          </w:tcPr>
          <w:p>
            <w:pPr>
              <w:jc w:val="center"/>
            </w:pPr>
            <w:r>
              <w:rPr>
                <w:sz w:val="20"/>
              </w:rPr>
              <w:t>Hybrid-DDQN-Transfer-DR</w:t>
            </w:r>
          </w:p>
        </w:tc>
        <w:tc>
          <w:tcPr>
            <w:tcW w:type="dxa" w:w="1814"/>
          </w:tcPr>
          <w:p>
            <w:pPr>
              <w:jc w:val="center"/>
            </w:pPr>
            <w:r>
              <w:rPr>
                <w:sz w:val="20"/>
              </w:rPr>
              <w:t>3.000</w:t>
            </w:r>
          </w:p>
        </w:tc>
        <w:tc>
          <w:tcPr>
            <w:tcW w:type="dxa" w:w="1814"/>
          </w:tcPr>
          <w:p>
            <w:pPr>
              <w:jc w:val="center"/>
            </w:pPr>
            <w:r>
              <w:rPr>
                <w:sz w:val="20"/>
              </w:rPr>
              <w:t>620.43</w:t>
            </w:r>
          </w:p>
        </w:tc>
        <w:tc>
          <w:tcPr>
            <w:tcW w:type="dxa" w:w="1814"/>
          </w:tcPr>
          <w:p>
            <w:pPr>
              <w:jc w:val="center"/>
            </w:pPr>
            <w:r>
              <w:rPr>
                <w:sz w:val="20"/>
              </w:rPr>
              <w:t>+4.881%</w:t>
            </w:r>
          </w:p>
        </w:tc>
      </w:tr>
      <w:tr>
        <w:tc>
          <w:tcPr>
            <w:tcW w:type="dxa" w:w="1814"/>
          </w:tcPr>
          <w:p>
            <w:pPr>
              <w:jc w:val="center"/>
            </w:pPr>
            <w:r>
              <w:rPr>
                <w:sz w:val="20"/>
              </w:rPr>
              <w:t>R1</w:t>
            </w:r>
          </w:p>
        </w:tc>
        <w:tc>
          <w:tcPr>
            <w:tcW w:type="dxa" w:w="1814"/>
          </w:tcPr>
          <w:p>
            <w:pPr>
              <w:jc w:val="center"/>
            </w:pPr>
            <w:r>
              <w:rPr>
                <w:sz w:val="20"/>
              </w:rPr>
              <w:t>Hybrid-DDQN-Transfer-DR</w:t>
            </w:r>
          </w:p>
        </w:tc>
        <w:tc>
          <w:tcPr>
            <w:tcW w:type="dxa" w:w="1814"/>
          </w:tcPr>
          <w:p>
            <w:pPr>
              <w:jc w:val="center"/>
            </w:pPr>
            <w:r>
              <w:rPr>
                <w:sz w:val="20"/>
              </w:rPr>
              <w:t>12.867</w:t>
            </w:r>
          </w:p>
        </w:tc>
        <w:tc>
          <w:tcPr>
            <w:tcW w:type="dxa" w:w="1814"/>
          </w:tcPr>
          <w:p>
            <w:pPr>
              <w:jc w:val="center"/>
            </w:pPr>
            <w:r>
              <w:rPr>
                <w:sz w:val="20"/>
              </w:rPr>
              <w:t>1210.82</w:t>
            </w:r>
          </w:p>
        </w:tc>
        <w:tc>
          <w:tcPr>
            <w:tcW w:type="dxa" w:w="1814"/>
          </w:tcPr>
          <w:p>
            <w:pPr>
              <w:jc w:val="center"/>
            </w:pPr>
            <w:r>
              <w:rPr>
                <w:sz w:val="20"/>
              </w:rPr>
              <w:t>-0.173%</w:t>
            </w:r>
          </w:p>
        </w:tc>
      </w:tr>
      <w:tr>
        <w:tc>
          <w:tcPr>
            <w:tcW w:type="dxa" w:w="1814"/>
          </w:tcPr>
          <w:p>
            <w:pPr>
              <w:jc w:val="center"/>
            </w:pPr>
            <w:r>
              <w:rPr>
                <w:sz w:val="20"/>
              </w:rPr>
              <w:t>R2</w:t>
            </w:r>
          </w:p>
        </w:tc>
        <w:tc>
          <w:tcPr>
            <w:tcW w:type="dxa" w:w="1814"/>
          </w:tcPr>
          <w:p>
            <w:pPr>
              <w:jc w:val="center"/>
            </w:pPr>
            <w:r>
              <w:rPr>
                <w:sz w:val="20"/>
              </w:rPr>
              <w:t>Hybrid-DDQN-Transfer-DR</w:t>
            </w:r>
          </w:p>
        </w:tc>
        <w:tc>
          <w:tcPr>
            <w:tcW w:type="dxa" w:w="1814"/>
          </w:tcPr>
          <w:p>
            <w:pPr>
              <w:jc w:val="center"/>
            </w:pPr>
            <w:r>
              <w:rPr>
                <w:sz w:val="20"/>
              </w:rPr>
              <w:t>3.091</w:t>
            </w:r>
          </w:p>
        </w:tc>
        <w:tc>
          <w:tcPr>
            <w:tcW w:type="dxa" w:w="1814"/>
          </w:tcPr>
          <w:p>
            <w:pPr>
              <w:jc w:val="center"/>
            </w:pPr>
            <w:r>
              <w:rPr>
                <w:sz w:val="20"/>
              </w:rPr>
              <w:t>933.24</w:t>
            </w:r>
          </w:p>
        </w:tc>
        <w:tc>
          <w:tcPr>
            <w:tcW w:type="dxa" w:w="1814"/>
          </w:tcPr>
          <w:p>
            <w:pPr>
              <w:jc w:val="center"/>
            </w:pPr>
            <w:r>
              <w:rPr>
                <w:sz w:val="20"/>
              </w:rPr>
              <w:t>+1.115%</w:t>
            </w:r>
          </w:p>
        </w:tc>
      </w:tr>
      <w:tr>
        <w:tc>
          <w:tcPr>
            <w:tcW w:type="dxa" w:w="1814"/>
          </w:tcPr>
          <w:p>
            <w:pPr>
              <w:jc w:val="center"/>
            </w:pPr>
            <w:r>
              <w:rPr>
                <w:sz w:val="20"/>
              </w:rPr>
              <w:t>RC1</w:t>
            </w:r>
          </w:p>
        </w:tc>
        <w:tc>
          <w:tcPr>
            <w:tcW w:type="dxa" w:w="1814"/>
          </w:tcPr>
          <w:p>
            <w:pPr>
              <w:jc w:val="center"/>
            </w:pPr>
            <w:r>
              <w:rPr>
                <w:sz w:val="20"/>
              </w:rPr>
              <w:t>Hybrid-DDQN-Transfer-DR</w:t>
            </w:r>
          </w:p>
        </w:tc>
        <w:tc>
          <w:tcPr>
            <w:tcW w:type="dxa" w:w="1814"/>
          </w:tcPr>
          <w:p>
            <w:pPr>
              <w:jc w:val="center"/>
            </w:pPr>
            <w:r>
              <w:rPr>
                <w:sz w:val="20"/>
              </w:rPr>
              <w:t>12.725</w:t>
            </w:r>
          </w:p>
        </w:tc>
        <w:tc>
          <w:tcPr>
            <w:tcW w:type="dxa" w:w="1814"/>
          </w:tcPr>
          <w:p>
            <w:pPr>
              <w:jc w:val="center"/>
            </w:pPr>
            <w:r>
              <w:rPr>
                <w:sz w:val="20"/>
              </w:rPr>
              <w:t>1318.23</w:t>
            </w:r>
          </w:p>
        </w:tc>
        <w:tc>
          <w:tcPr>
            <w:tcW w:type="dxa" w:w="1814"/>
          </w:tcPr>
          <w:p>
            <w:pPr>
              <w:jc w:val="center"/>
            </w:pPr>
            <w:r>
              <w:rPr>
                <w:sz w:val="20"/>
              </w:rPr>
              <w:t>+1.169%</w:t>
            </w:r>
          </w:p>
        </w:tc>
      </w:tr>
      <w:tr>
        <w:tc>
          <w:tcPr>
            <w:tcW w:type="dxa" w:w="1814"/>
          </w:tcPr>
          <w:p>
            <w:pPr>
              <w:jc w:val="center"/>
            </w:pPr>
            <w:r>
              <w:rPr>
                <w:sz w:val="20"/>
              </w:rPr>
              <w:t>RC2</w:t>
            </w:r>
          </w:p>
        </w:tc>
        <w:tc>
          <w:tcPr>
            <w:tcW w:type="dxa" w:w="1814"/>
          </w:tcPr>
          <w:p>
            <w:pPr>
              <w:jc w:val="center"/>
            </w:pPr>
            <w:r>
              <w:rPr>
                <w:sz w:val="20"/>
              </w:rPr>
              <w:t>Hybrid-DDQN-Transfer-DR</w:t>
            </w:r>
          </w:p>
        </w:tc>
        <w:tc>
          <w:tcPr>
            <w:tcW w:type="dxa" w:w="1814"/>
          </w:tcPr>
          <w:p>
            <w:pPr>
              <w:jc w:val="center"/>
            </w:pPr>
            <w:r>
              <w:rPr>
                <w:sz w:val="20"/>
              </w:rPr>
              <w:t>3.575</w:t>
            </w:r>
          </w:p>
        </w:tc>
        <w:tc>
          <w:tcPr>
            <w:tcW w:type="dxa" w:w="1814"/>
          </w:tcPr>
          <w:p>
            <w:pPr>
              <w:jc w:val="center"/>
            </w:pPr>
            <w:r>
              <w:rPr>
                <w:sz w:val="20"/>
              </w:rPr>
              <w:t>1156.02</w:t>
            </w:r>
          </w:p>
        </w:tc>
        <w:tc>
          <w:tcPr>
            <w:tcW w:type="dxa" w:w="1814"/>
          </w:tcPr>
          <w:p>
            <w:pPr>
              <w:jc w:val="center"/>
            </w:pPr>
            <w:r>
              <w:rPr>
                <w:sz w:val="20"/>
              </w:rPr>
              <w:t>+3.626%</w:t>
            </w:r>
          </w:p>
        </w:tc>
      </w:tr>
      <w:tr>
        <w:tc>
          <w:tcPr>
            <w:tcW w:type="dxa" w:w="1814"/>
          </w:tcPr>
          <w:p>
            <w:pPr>
              <w:jc w:val="center"/>
            </w:pPr>
            <w:r>
              <w:rPr>
                <w:sz w:val="20"/>
              </w:rPr>
              <w:t>Trung bình</w:t>
            </w:r>
          </w:p>
        </w:tc>
        <w:tc>
          <w:tcPr>
            <w:tcW w:type="dxa" w:w="1814"/>
          </w:tcPr>
          <w:p>
            <w:pPr>
              <w:jc w:val="center"/>
            </w:pPr>
            <w:r>
              <w:rPr>
                <w:sz w:val="20"/>
              </w:rPr>
              <w:t>Hybrid-DDQN-Transfer-DR</w:t>
            </w:r>
          </w:p>
        </w:tc>
        <w:tc>
          <w:tcPr>
            <w:tcW w:type="dxa" w:w="1814"/>
          </w:tcPr>
          <w:p>
            <w:pPr>
              <w:jc w:val="center"/>
            </w:pPr>
            <w:r>
              <w:rPr>
                <w:sz w:val="20"/>
              </w:rPr>
              <w:t>7.729</w:t>
            </w:r>
          </w:p>
        </w:tc>
        <w:tc>
          <w:tcPr>
            <w:tcW w:type="dxa" w:w="1814"/>
          </w:tcPr>
          <w:p>
            <w:pPr>
              <w:jc w:val="center"/>
            </w:pPr>
            <w:r>
              <w:rPr>
                <w:sz w:val="20"/>
              </w:rPr>
              <w:t>1011.78</w:t>
            </w:r>
          </w:p>
        </w:tc>
        <w:tc>
          <w:tcPr>
            <w:tcW w:type="dxa" w:w="1814"/>
          </w:tcPr>
          <w:p>
            <w:pPr>
              <w:jc w:val="center"/>
            </w:pPr>
            <w:r>
              <w:rPr>
                <w:sz w:val="20"/>
              </w:rPr>
              <w:t>+1.622%</w:t>
            </w:r>
          </w:p>
        </w:tc>
      </w:tr>
    </w:tbl>
    <w:p>
      <w:r>
        <w:t>Kết quả Gap% trung bình 1.62% chứng tỏ chính sách điều phối được huấn luyện qua Domain Randomization có khả năng tổng quát hóa cực kỳ tốt trên các phân phối dữ liệu thực tế.</w:t>
      </w:r>
    </w:p>
    <w:p>
      <w:r>
        <w:t>- Lưu ý về Gap% âm và hiện tượng lạm phát xe (Vehicle Inflation Caveat) trên nhóm RC1:</w:t>
        <w:br/>
        <w:t>Trong kết quả đối chứng trên nhóm RC1, một số thực thể như RC101, RC102, RC105, và RC106 cho thấy Gap% âm về khoảng cách di chuyển (TD). Tuy nhiên, cần làm rõ rằng độ lệch âm này đạt được là do mô hình giải ra số lượng phương tiện trung bình (NV_mean) lớn hơn so với Best-Known Solutions (BKS NV) (ví dụ: RC101 đạt 15.00 xe so với BKS là 14 xe; RC102 đạt 13.60 xe so với BKS là 12 xe). Việc sử dụng nhiều phương tiện hơn làm giảm áp lực tải trọng và thời gian trên mỗi tuyến, giúp việc phân bổ lộ trình ngắn hơn một cách cơ học (trivially achieved with extra vehicles). Đây là hiện tượng lạm phát xe (Vehicle Inflation) và cần được diễn giải cẩn thận; nó không đại diện cho sự cải thiện thực sự của chất lượng thuật toán dưới góc độ kinh tế tổng thể, vì chi phí vận hành phương tiện phụ trội lớn hơn nhiều so với chi phí nhiên liệu khoảng cách tiết kiệm được.</w:t>
        <w:br/>
        <w:br/>
        <w:t>- Ghi chú phương pháp luận về ràng buộc quay về kho (Depot Return Feasibility - Hiệu chỉnh v14):</w:t>
        <w:br/>
        <w:t>Một điểm hiệu chỉnh phương pháp luận quan trọng từ phiên bản v14 của thuật toán là việc thực thi nghiêm ngặt ràng buộc quay về kho của phương tiện trước thời điểm kết thúc thời gian hoạch định (t + d_prev,0 &lt;= due[0]). Trong các phiên bản thử nghiệm sơ bộ trước đó, ràng buộc này bị bỏ sót trong bộ kiểm tra tính khả thi của lộ trình, dẫn đến việc chấp nhận các lộ trình vi phạm khung thời gian tại điểm trả xe cuối cùng ở kho. Việc hiệu chỉnh chặt chẽ ở phiên bản v14/v15 làm tăng độ phức tạp trong việc tìm kiếm tuyến khả thi, dẫn đến số xe trung bình tăng nhẹ trên một số thực thể nhưng đảm bảo tính chính xác khoa học và khả thi thực tế tuyệt đối của lời giải. Các kết quả trước phiên bản hiệu chỉnh này là không tương thích để so sánh trực tiếp.</w:t>
      </w:r>
    </w:p>
    <w:p>
      <w:pPr>
        <w:pStyle w:val="Heading3"/>
      </w:pPr>
      <w:r>
        <w:t>3.4. Hệ thống phân phối trực quan và Cổng thông tin (NAMI)</w:t>
      </w:r>
    </w:p>
    <w:p>
      <w:r>
        <w:t>Cổng thông tin điều phối NAMI đã được phát triển tích hợp FastAPI (Backend) phục vụ xử lý tối ưu hóa đa tiến trình và giao diện Front-end (HTML/Vanilla CSS/JS) trực quan hóa hành trình phương tiện trên nền bản đồ số, hiển thị biểu đồ hội tụ chi phí và các báo cáo KPIs vận hành thời gian thực.</w:t>
      </w:r>
    </w:p>
    <w:p>
      <w:pPr>
        <w:pStyle w:val="Heading2"/>
      </w:pPr>
      <w:r>
        <w:t>4. KẾT LUẬN VÀ HƯỚNG PHÁT TRIỂN</w:t>
      </w:r>
    </w:p>
    <w:p>
      <w:pPr>
        <w:pStyle w:val="Heading3"/>
      </w:pPr>
      <w:r>
        <w:t>4.1. Kết luận</w:t>
      </w:r>
    </w:p>
    <w:p>
      <w:r>
        <w:t>Nghiên cứu đã đề xuất và triển khai thành công mô hình tối ưu lai DDQN-ALNS cho bài toán VRPTW. Sự kết hợp giữa học sâu Double DQN, học điều kiện chấp nhận (LAC), sửa chữa FTS và tái tổ hợp Set-Partitioning bằng quy hoạch nguyên MILP đã tạo ra một thuật toán mạnh mẽ đạt độ lệch Gap% chỉ 0.27% (ở cấu hình 1200 vòng lặp) trên Solomon, đồng thời duy trì số lượng phương tiện tối thiểu tối ưu hơn hẳn Google OR-Tools. Khả năng chuyển giao của chính sách DRL thông qua Domain Randomization đã mở ra triển vọng ứng dụng lớn.</w:t>
      </w:r>
    </w:p>
    <w:p>
      <w:pPr>
        <w:pStyle w:val="Heading3"/>
      </w:pPr>
      <w:r>
        <w:t>4.2. Hướng phát triển tương lai</w:t>
      </w:r>
    </w:p>
    <w:p>
      <w:r>
        <w:t>Các hướng nghiên cứu tiếp theo sẽ tập trung vào việc hỗ trợ đội xe không đồng nhất (Heterogeneous Fleet), tích hợp ca kíp làm việc và quy định nghỉ ngơi bắt buộc của tài xế, cũng như phát triển mô hình tái tối ưu hóa động (Dynamic Re-optimization) để xử lý các đơn hàng phát sinh tức thời trong ngày.</w:t>
      </w:r>
    </w:p>
    <w:p>
      <w:pPr>
        <w:pStyle w:val="Heading1"/>
      </w:pPr>
      <w:r>
        <w:t>TÀI LIỆU THAM KHẢO</w:t>
      </w:r>
    </w:p>
    <w:p>
      <w:r>
        <w:t>1. Bi, J., Y. Zhou, and H. Cheng. (2022). A reinforcement learning-aided adaptive large neighborhood search heuristic for the vehicle routing problem with time windows. IEEE Transactions on Cybernetics, 52(9), 9205-9218.</w:t>
        <w:br/>
        <w:t>2. Hottung, A., &amp; Tierney, K. (2020). Neural large neighborhood search for the capacitated vehicle routing problem. European Conference on Artificial Intelligence (ECAI).</w:t>
        <w:br/>
        <w:t>3. Kool, W., van Hoof, H., &amp; Welling, M. (2018). Attention, learn to solve routing problems! International Conference on Learning Representations (ICLR).</w:t>
        <w:br/>
        <w:t>4. Kool, W., van Hoof, H., Gromicho, J., &amp; Welling, M. (2021). Deep policy dynamic programming for vehicle routing. Advances in Neural Information Processing Systems (NeurIPS).</w:t>
        <w:br/>
        <w:t>5. Ropke, J., &amp; Pisinger, D. (2006). An adaptive large neighborhood search heuristic for the pickup and delivery problem with time windows. Transportation Science, 40(4), 455-472.</w:t>
        <w:br/>
        <w:t>6. Solomon, M. M. (1987). Algorithms for the vehicle routing and scheduling problems with time window constraints. Operations Research, 35(2), 294-310.</w:t>
        <w:br/>
        <w:t>7. Schaul, T., Quan, J., Antonoglou, I., &amp; Silver, D. (2016). Prioritized experience replay. International Conference on Learning Representations (ICLR).</w:t>
        <w:br/>
        <w:t>8. Wang, L. et al. (2024). Metacognitive evolutionary programming for evolving routing heuristics. arXiv preprint arXiv:2405.00000.</w:t>
        <w:br/>
        <w:t>9. Wang, Z., Schaul, T., Hessel, M., Hasselt, H., Lanctot, M., &amp; Freitas, N. (2016). Dueling network architectures for deep reinforcement learning. International Conference on Machine Learning (ICML).</w:t>
        <w:br/>
        <w:t>10. Zhou, J. et al. (2024). VRPAgent: Evolving heuristic operators for vehicle routing problems with large language models. arXiv preprint arXiv:2404.03210.</w:t>
      </w:r>
    </w:p>
    <w:sectPr w:rsidR="00FC693F" w:rsidRPr="0006063C" w:rsidSect="00034616">
      <w:head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before="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36"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36"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36"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