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Date: 30-12-2024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Invoice No.: 1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8"/>
        <w:gridCol w:w="4592"/>
        <w:gridCol w:w="1411"/>
        <w:gridCol w:w="3628"/>
      </w:tblGrid>
      <w:tr>
        <w:trPr/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2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Khandu Don</w:t>
            </w:r>
          </w:p>
        </w:tc>
      </w:tr>
      <w:tr>
        <w:trPr>
          <w:trHeight w:val="1469" w:hRule="atLeast"/>
        </w:trPr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2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khandu don</w:t>
            </w:r>
          </w:p>
        </w:tc>
      </w:tr>
      <w:tr>
        <w:trPr/>
        <w:tc>
          <w:tcPr>
            <w:tcW w:w="170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2" w:type="dxa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khandu don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3"/>
        <w:gridCol w:w="3061"/>
        <w:gridCol w:w="1816"/>
      </w:tblGrid>
      <w:tr>
        <w:trPr/>
        <w:tc>
          <w:tcPr>
            <w:tcW w:w="646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Total(Round Off):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 only</w:t>
            </w:r>
          </w:p>
        </w:tc>
        <w:tc>
          <w:tcPr>
            <w:tcW w:w="18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LibreOffice/24.8.3.2$Windows_X86_64 LibreOffice_project/48a6bac9e7e268aeb4c3483fcf825c94556d9f92</Application>
  <AppVersion>15.0000</AppVersion>
  <Pages>1</Pages>
  <Words>85</Words>
  <Characters>645</Characters>
  <CharactersWithSpaces>671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2024-12-30T13:40:46Z</cp:lastPrinted>
  <dcterms:modified xsi:type="dcterms:W3CDTF">2024-12-30T13:40:58Z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