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Safety Procedure</w:t>
      </w:r>
    </w:p>
    <w:p>
      <w:r>
        <w:t>This document describes the working-at-height procedure.</w:t>
      </w:r>
    </w:p>
    <w:p>
      <w:pPr>
        <w:pStyle w:val="Heading2"/>
      </w:pPr>
      <w:r>
        <w:t>Required Equipment</w:t>
      </w:r>
    </w:p>
    <w:p>
      <w:r>
        <w:t>Harness, lanyard, and anchor point are mandatory above 1.8 metres.</w:t>
      </w:r>
    </w:p>
    <w:p>
      <w:pPr>
        <w:pStyle w:val="ListBullet"/>
      </w:pPr>
      <w:r>
        <w:t>Full-body harness rated to EN 361.</w:t>
      </w:r>
    </w:p>
    <w:p>
      <w:pPr>
        <w:pStyle w:val="ListBullet"/>
      </w:pPr>
      <w:r>
        <w:t>Shock-absorbing lanyard rated to EN 355.</w:t>
      </w:r>
    </w:p>
    <w:p>
      <w:pPr>
        <w:pStyle w:val="ListBullet"/>
      </w:pPr>
      <w:r>
        <w:t>Fixed anchor point rated to at least 22 kN.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Equipment</w:t>
            </w:r>
          </w:p>
        </w:tc>
        <w:tc>
          <w:tcPr>
            <w:tcW w:type="dxa" w:w="4320"/>
          </w:tcPr>
          <w:p>
            <w:r>
              <w:t>Inspection Interval</w:t>
            </w:r>
          </w:p>
        </w:tc>
      </w:tr>
      <w:tr>
        <w:tc>
          <w:tcPr>
            <w:tcW w:type="dxa" w:w="4320"/>
          </w:tcPr>
          <w:p>
            <w:r>
              <w:t>Harness</w:t>
            </w:r>
          </w:p>
        </w:tc>
        <w:tc>
          <w:tcPr>
            <w:tcW w:type="dxa" w:w="4320"/>
          </w:tcPr>
          <w:p>
            <w:r>
              <w:t>Monthly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