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Calibri" w:hAnsi="Calibri"/>
          <w:b/>
          <w:i w:val="0"/>
          <w:color w:val="2474A6"/>
          <w:sz w:val="19"/>
        </w:rPr>
        <w:t>ESTIMATIVA COMERCIAL</w:t>
      </w:r>
    </w:p>
    <w:p>
      <w:pPr>
        <w:spacing w:before="0" w:after="60" w:line="264" w:lineRule="auto"/>
      </w:pPr>
      <w:r>
        <w:rPr>
          <w:rFonts w:ascii="Calibri" w:hAnsi="Calibri"/>
          <w:b/>
          <w:i w:val="0"/>
          <w:color w:val="16324F"/>
          <w:sz w:val="50"/>
        </w:rPr>
        <w:t>Custos de infraestrutura Azure</w:t>
      </w:r>
    </w:p>
    <w:p>
      <w:pPr>
        <w:spacing w:before="0" w:after="260" w:line="264" w:lineRule="auto"/>
      </w:pPr>
      <w:r>
        <w:rPr>
          <w:rFonts w:ascii="Calibri" w:hAnsi="Calibri"/>
          <w:b w:val="0"/>
          <w:i w:val="0"/>
          <w:color w:val="5E6A75"/>
          <w:sz w:val="27"/>
        </w:rPr>
        <w:t>Ambientes de desenvolvimento e produção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480"/>
        <w:gridCol w:w="1560"/>
        <w:gridCol w:w="3120"/>
      </w:tblGrid>
      <w:tr>
        <w:tc>
          <w:tcPr>
            <w:tcW w:type="dxa" w:w="1200"/>
            <w:shd w:fill="F3F5F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5E6A75"/>
                <w:sz w:val="17"/>
              </w:rPr>
              <w:t>Escopo</w:t>
            </w:r>
          </w:p>
        </w:tc>
        <w:tc>
          <w:tcPr>
            <w:tcW w:type="dxa" w:w="3480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D252C"/>
                <w:sz w:val="17"/>
              </w:rPr>
              <w:t>DEV + PROD</w:t>
            </w:r>
          </w:p>
        </w:tc>
        <w:tc>
          <w:tcPr>
            <w:tcW w:type="dxa" w:w="1560"/>
            <w:shd w:fill="F3F5F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5E6A75"/>
                <w:sz w:val="17"/>
              </w:rPr>
              <w:t>Moeda</w:t>
            </w:r>
          </w:p>
        </w:tc>
        <w:tc>
          <w:tcPr>
            <w:tcW w:type="dxa" w:w="3120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D252C"/>
                <w:sz w:val="17"/>
              </w:rPr>
              <w:t>USD</w:t>
            </w:r>
          </w:p>
        </w:tc>
      </w:tr>
      <w:tr>
        <w:tc>
          <w:tcPr>
            <w:tcW w:type="dxa" w:w="1200"/>
            <w:shd w:fill="F3F5F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5E6A75"/>
                <w:sz w:val="17"/>
              </w:rPr>
              <w:t>Referência</w:t>
            </w:r>
          </w:p>
        </w:tc>
        <w:tc>
          <w:tcPr>
            <w:tcW w:type="dxa" w:w="3480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D252C"/>
                <w:sz w:val="17"/>
              </w:rPr>
              <w:t>Export Azure de 17/07/2026</w:t>
            </w:r>
          </w:p>
        </w:tc>
        <w:tc>
          <w:tcPr>
            <w:tcW w:type="dxa" w:w="1560"/>
            <w:shd w:fill="F3F5F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5E6A75"/>
                <w:sz w:val="17"/>
              </w:rPr>
              <w:t>Periodicidade</w:t>
            </w:r>
          </w:p>
        </w:tc>
        <w:tc>
          <w:tcPr>
            <w:tcW w:type="dxa" w:w="3120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D252C"/>
                <w:sz w:val="17"/>
              </w:rPr>
              <w:t>Mensal</w:t>
            </w:r>
          </w:p>
        </w:tc>
      </w:tr>
    </w:tbl>
    <w:p>
      <w:pPr>
        <w:spacing w:before="0" w:after="100" w:line="264" w:lineRule="auto"/>
      </w:pPr>
      <w:r>
        <w:rPr>
          <w:rFonts w:ascii="Calibri" w:hAnsi="Calibri"/>
          <w:b w:val="0"/>
          <w:i w:val="0"/>
          <w:color w:val="1D252C"/>
          <w:sz w:val="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700"/>
        <w:gridCol w:w="3660"/>
      </w:tblGrid>
      <w:tr>
        <w:tc>
          <w:tcPr>
            <w:tcW w:type="dxa" w:w="5700"/>
            <w:tcMar>
              <w:top w:w="180" w:type="dxa"/>
              <w:start w:w="200" w:type="dxa"/>
              <w:bottom w:w="180" w:type="dxa"/>
              <w:end w:w="200" w:type="dxa"/>
            </w:tcMar>
            <w:shd w:fill="16324F"/>
            <w:vAlign w:val="center"/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i w:val="0"/>
                <w:color w:val="A8D4EE"/>
                <w:sz w:val="18"/>
              </w:rPr>
              <w:t>CUSTO BASE CONSOLIDADO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34"/>
              </w:rPr>
              <w:t>DEV + PROD</w:t>
            </w:r>
          </w:p>
        </w:tc>
        <w:tc>
          <w:tcPr>
            <w:tcW w:type="dxa" w:w="3660"/>
            <w:tcMar>
              <w:top w:w="180" w:type="dxa"/>
              <w:start w:w="200" w:type="dxa"/>
              <w:bottom w:w="180" w:type="dxa"/>
              <w:end w:w="200" w:type="dxa"/>
            </w:tcMar>
            <w:shd w:fill="16324F"/>
            <w:vAlign w:val="center"/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before="0" w:after="20" w:line="264" w:lineRule="auto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42"/>
              </w:rPr>
              <w:t>US$ 61,748</w:t>
            </w:r>
          </w:p>
          <w:p>
            <w:pPr>
              <w:spacing w:before="0" w:after="0" w:line="264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D8EAF4"/>
                <w:sz w:val="20"/>
              </w:rPr>
              <w:t>por mês</w:t>
            </w:r>
          </w:p>
        </w:tc>
      </w:tr>
    </w:tbl>
    <w:p>
      <w:pPr>
        <w:spacing w:before="0" w:after="240" w:line="264" w:lineRule="auto"/>
      </w:pPr>
      <w:r>
        <w:rPr>
          <w:rFonts w:ascii="Calibri" w:hAnsi="Calibri"/>
          <w:b w:val="0"/>
          <w:i w:val="0"/>
          <w:color w:val="5E6A75"/>
          <w:sz w:val="19"/>
        </w:rPr>
        <w:t>Equivalente a aproximadamente US$ 740,98 por ano, antes de consumo adicional e encargos de transferência de dados.</w:t>
      </w:r>
    </w:p>
    <w:p>
      <w:pPr>
        <w:pStyle w:val="Heading1"/>
      </w:pPr>
      <w:r>
        <w:t>1. Composição mensal por ambiente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D252C"/>
          <w:sz w:val="21"/>
        </w:rPr>
        <w:t>A mesma arquitetura e os mesmos valores são considerados para DEV e PROD.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1560"/>
        <w:gridCol w:w="1560"/>
        <w:gridCol w:w="1560"/>
      </w:tblGrid>
      <w:tr>
        <w:trPr>
          <w:tblHeader w:val="true"/>
        </w:trPr>
        <w:tc>
          <w:tcPr>
            <w:tcW w:type="dxa" w:w="4680"/>
            <w:shd w:fill="16324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Serviço</w:t>
            </w:r>
          </w:p>
        </w:tc>
        <w:tc>
          <w:tcPr>
            <w:tcW w:type="dxa" w:w="1560"/>
            <w:shd w:fill="16324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DEV / mês</w:t>
            </w:r>
          </w:p>
        </w:tc>
        <w:tc>
          <w:tcPr>
            <w:tcW w:type="dxa" w:w="1560"/>
            <w:shd w:fill="16324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PROD / mês</w:t>
            </w:r>
          </w:p>
        </w:tc>
        <w:tc>
          <w:tcPr>
            <w:tcW w:type="dxa" w:w="1560"/>
            <w:shd w:fill="16324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Total / mês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D252C"/>
                <w:sz w:val="18"/>
              </w:rPr>
              <w:t>Azure Container Apps (CAE)</w:t>
            </w:r>
          </w:p>
        </w:tc>
        <w:tc>
          <w:tcPr>
            <w:tcW w:type="dxa" w:w="15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52C"/>
                <w:sz w:val="18"/>
              </w:rPr>
              <w:t>US$ 0,000</w:t>
            </w:r>
          </w:p>
        </w:tc>
        <w:tc>
          <w:tcPr>
            <w:tcW w:type="dxa" w:w="15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52C"/>
                <w:sz w:val="18"/>
              </w:rPr>
              <w:t>US$ 0,000</w:t>
            </w:r>
          </w:p>
        </w:tc>
        <w:tc>
          <w:tcPr>
            <w:tcW w:type="dxa" w:w="15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52C"/>
                <w:sz w:val="18"/>
              </w:rPr>
              <w:t>US$ 0,000</w:t>
            </w:r>
          </w:p>
        </w:tc>
      </w:tr>
      <w:tr>
        <w:tc>
          <w:tcPr>
            <w:tcW w:type="dxa" w:w="4680"/>
            <w:shd w:fill="F3F5F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D252C"/>
                <w:sz w:val="18"/>
              </w:rPr>
              <w:t>Azure Cache for Redis - Basic C0</w:t>
            </w:r>
          </w:p>
        </w:tc>
        <w:tc>
          <w:tcPr>
            <w:tcW w:type="dxa" w:w="1560"/>
            <w:shd w:fill="F3F5F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52C"/>
                <w:sz w:val="18"/>
              </w:rPr>
              <w:t>US$ 14,784</w:t>
            </w:r>
          </w:p>
        </w:tc>
        <w:tc>
          <w:tcPr>
            <w:tcW w:type="dxa" w:w="1560"/>
            <w:shd w:fill="F3F5F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52C"/>
                <w:sz w:val="18"/>
              </w:rPr>
              <w:t>US$ 14,784</w:t>
            </w:r>
          </w:p>
        </w:tc>
        <w:tc>
          <w:tcPr>
            <w:tcW w:type="dxa" w:w="1560"/>
            <w:shd w:fill="F3F5F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52C"/>
                <w:sz w:val="18"/>
              </w:rPr>
              <w:t>US$ 29,568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D252C"/>
                <w:sz w:val="18"/>
              </w:rPr>
              <w:t>Azure Database for PostgreSQL - B1ms + 32 GiB</w:t>
            </w:r>
          </w:p>
        </w:tc>
        <w:tc>
          <w:tcPr>
            <w:tcW w:type="dxa" w:w="15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52C"/>
                <w:sz w:val="18"/>
              </w:rPr>
              <w:t>US$ 16,090</w:t>
            </w:r>
          </w:p>
        </w:tc>
        <w:tc>
          <w:tcPr>
            <w:tcW w:type="dxa" w:w="15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52C"/>
                <w:sz w:val="18"/>
              </w:rPr>
              <w:t>US$ 16,090</w:t>
            </w:r>
          </w:p>
        </w:tc>
        <w:tc>
          <w:tcPr>
            <w:tcW w:type="dxa" w:w="15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52C"/>
                <w:sz w:val="18"/>
              </w:rPr>
              <w:t>US$ 32,180</w:t>
            </w:r>
          </w:p>
        </w:tc>
      </w:tr>
      <w:tr>
        <w:tc>
          <w:tcPr>
            <w:tcW w:type="dxa" w:w="4680"/>
            <w:shd w:fill="EAF3F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16324F"/>
                <w:sz w:val="18"/>
              </w:rPr>
              <w:t>Total mensal</w:t>
            </w:r>
          </w:p>
        </w:tc>
        <w:tc>
          <w:tcPr>
            <w:tcW w:type="dxa" w:w="1560"/>
            <w:shd w:fill="EAF3F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/>
                <w:b/>
                <w:i w:val="0"/>
                <w:color w:val="16324F"/>
                <w:sz w:val="18"/>
              </w:rPr>
              <w:t>US$ 30,874</w:t>
            </w:r>
          </w:p>
        </w:tc>
        <w:tc>
          <w:tcPr>
            <w:tcW w:type="dxa" w:w="1560"/>
            <w:shd w:fill="EAF3F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/>
                <w:b/>
                <w:i w:val="0"/>
                <w:color w:val="16324F"/>
                <w:sz w:val="18"/>
              </w:rPr>
              <w:t>US$ 30,874</w:t>
            </w:r>
          </w:p>
        </w:tc>
        <w:tc>
          <w:tcPr>
            <w:tcW w:type="dxa" w:w="1560"/>
            <w:shd w:fill="EAF3F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/>
                <w:b/>
                <w:i w:val="0"/>
                <w:color w:val="16324F"/>
                <w:sz w:val="18"/>
              </w:rPr>
              <w:t>US$ 61,748</w:t>
            </w:r>
          </w:p>
        </w:tc>
      </w:tr>
    </w:tbl>
    <w:p>
      <w:pPr>
        <w:spacing w:before="80" w:after="160" w:line="264" w:lineRule="auto"/>
      </w:pPr>
      <w:r>
        <w:rPr>
          <w:rFonts w:ascii="Calibri" w:hAnsi="Calibri"/>
          <w:b w:val="0"/>
          <w:i/>
          <w:color w:val="5E6A75"/>
          <w:sz w:val="17"/>
        </w:rPr>
        <w:t>Valores exibidos com três casas decimais para manter uma apresentação uniforme.</w:t>
      </w:r>
    </w:p>
    <w:p>
      <w:pPr>
        <w:pStyle w:val="Heading1"/>
      </w:pPr>
      <w:r>
        <w:t>2. Premissas da estimativa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/>
          <w:b/>
          <w:i w:val="0"/>
          <w:color w:val="16324F"/>
          <w:sz w:val="20"/>
        </w:rPr>
        <w:t xml:space="preserve">Ambientes espelhados. </w:t>
      </w:r>
      <w:r>
        <w:rPr>
          <w:rFonts w:ascii="Calibri" w:hAnsi="Calibri"/>
          <w:b w:val="0"/>
          <w:i w:val="0"/>
          <w:color w:val="1D252C"/>
          <w:sz w:val="20"/>
        </w:rPr>
        <w:t>DEV e PROD recebem uma instância equivalente de cada serviço listado.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/>
          <w:b/>
          <w:i w:val="0"/>
          <w:color w:val="16324F"/>
          <w:sz w:val="20"/>
        </w:rPr>
        <w:t xml:space="preserve">CAE na faixa-base. </w:t>
      </w:r>
      <w:r>
        <w:rPr>
          <w:rFonts w:ascii="Calibri" w:hAnsi="Calibri"/>
          <w:b w:val="0"/>
          <w:i w:val="0"/>
          <w:color w:val="1D252C"/>
          <w:sz w:val="20"/>
        </w:rPr>
        <w:t>O Azure Container Apps considera até 1 milhão de requisições por mês em cada ambiente, conforme a configuração exportada.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/>
          <w:b/>
          <w:i w:val="0"/>
          <w:color w:val="16324F"/>
          <w:sz w:val="20"/>
        </w:rPr>
        <w:t xml:space="preserve">Transferência de dados. </w:t>
      </w:r>
      <w:r>
        <w:rPr>
          <w:rFonts w:ascii="Calibri" w:hAnsi="Calibri"/>
          <w:b w:val="0"/>
          <w:i w:val="0"/>
          <w:color w:val="1D252C"/>
          <w:sz w:val="20"/>
        </w:rPr>
        <w:t>Tráfego de saída entre regiões pode gerar cobrança adicional; tráfego de entrada é gratuito.</w:t>
      </w:r>
    </w:p>
    <w:p>
      <w:r>
        <w:br w:type="page"/>
      </w:r>
    </w:p>
    <w:p>
      <w:pPr>
        <w:spacing w:before="0" w:after="80" w:line="264" w:lineRule="auto"/>
      </w:pPr>
      <w:r>
        <w:rPr>
          <w:rFonts w:ascii="Calibri" w:hAnsi="Calibri"/>
          <w:b/>
          <w:i w:val="0"/>
          <w:color w:val="2474A6"/>
          <w:sz w:val="19"/>
        </w:rPr>
        <w:t>CENÁRIOS DE CONSUMO</w:t>
      </w:r>
    </w:p>
    <w:p>
      <w:pPr>
        <w:spacing w:before="0" w:after="100" w:line="264" w:lineRule="auto"/>
      </w:pPr>
      <w:r>
        <w:rPr>
          <w:rFonts w:ascii="Calibri" w:hAnsi="Calibri"/>
          <w:b/>
          <w:i w:val="0"/>
          <w:color w:val="16324F"/>
          <w:sz w:val="46"/>
        </w:rPr>
        <w:t>Escalabilidade do Azure Container Apps</w:t>
      </w:r>
    </w:p>
    <w:p>
      <w:pPr>
        <w:spacing w:before="0" w:after="280" w:line="264" w:lineRule="auto"/>
      </w:pPr>
      <w:r>
        <w:rPr>
          <w:rFonts w:ascii="Calibri" w:hAnsi="Calibri"/>
          <w:b w:val="0"/>
          <w:i w:val="0"/>
          <w:color w:val="5E6A75"/>
          <w:sz w:val="25"/>
        </w:rPr>
        <w:t>Impacto financeiro de requisições acima da faixa-base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5EE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b/>
                <w:i w:val="0"/>
                <w:color w:val="26734D"/>
                <w:sz w:val="18"/>
              </w:rPr>
              <w:t>REGRA DE ESCALA</w:t>
            </w:r>
          </w:p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i w:val="0"/>
                <w:color w:val="26734D"/>
                <w:sz w:val="30"/>
              </w:rPr>
              <w:t>US$ 0,400 por 1 milhão de requisições adicionais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D252C"/>
                <w:sz w:val="20"/>
              </w:rPr>
              <w:t>A cobrança é aplicada por ambiente. Se DEV e PROD escalarem igualmente, o adicional é duplicado.</w:t>
            </w:r>
          </w:p>
        </w:tc>
      </w:tr>
    </w:tbl>
    <w:p>
      <w:pPr>
        <w:pStyle w:val="Heading1"/>
      </w:pPr>
      <w:r>
        <w:t>3. Simulação de crescimento</w:t>
      </w:r>
    </w:p>
    <w:p>
      <w:pPr>
        <w:spacing w:before="0" w:after="140" w:line="264" w:lineRule="auto"/>
      </w:pPr>
      <w:r>
        <w:rPr>
          <w:rFonts w:ascii="Calibri" w:hAnsi="Calibri"/>
          <w:b w:val="0"/>
          <w:i w:val="0"/>
          <w:color w:val="1D252C"/>
          <w:sz w:val="21"/>
        </w:rPr>
        <w:t>Cenários abaixo assumem que DEV e PROD recebem o mesmo volume adicional.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80"/>
        <w:gridCol w:w="2040"/>
        <w:gridCol w:w="2520"/>
        <w:gridCol w:w="2520"/>
      </w:tblGrid>
      <w:tr>
        <w:trPr>
          <w:tblHeader w:val="true"/>
        </w:trPr>
        <w:tc>
          <w:tcPr>
            <w:tcW w:type="dxa" w:w="2280"/>
            <w:shd w:fill="2474A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Requisições adicionais</w:t>
              <w:br/>
              <w:t>por ambiente</w:t>
            </w:r>
          </w:p>
        </w:tc>
        <w:tc>
          <w:tcPr>
            <w:tcW w:type="dxa" w:w="2040"/>
            <w:shd w:fill="2474A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Adicional</w:t>
              <w:br/>
              <w:t>por ambiente</w:t>
            </w:r>
          </w:p>
        </w:tc>
        <w:tc>
          <w:tcPr>
            <w:tcW w:type="dxa" w:w="2520"/>
            <w:shd w:fill="2474A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Adicional DEV + PROD*</w:t>
            </w:r>
          </w:p>
        </w:tc>
        <w:tc>
          <w:tcPr>
            <w:tcW w:type="dxa" w:w="2520"/>
            <w:shd w:fill="2474A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Novo total mensal*</w:t>
            </w:r>
          </w:p>
        </w:tc>
      </w:tr>
      <w:tr>
        <w:tc>
          <w:tcPr>
            <w:tcW w:type="dxa" w:w="2280"/>
            <w:shd w:fill="F3F5F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D252C"/>
                <w:sz w:val="19"/>
              </w:rPr>
              <w:t>0</w:t>
            </w:r>
          </w:p>
        </w:tc>
        <w:tc>
          <w:tcPr>
            <w:tcW w:type="dxa" w:w="2040"/>
            <w:shd w:fill="F3F5F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52C"/>
                <w:sz w:val="19"/>
              </w:rPr>
              <w:t>US$ 0,000</w:t>
            </w:r>
          </w:p>
        </w:tc>
        <w:tc>
          <w:tcPr>
            <w:tcW w:type="dxa" w:w="2520"/>
            <w:shd w:fill="F3F5F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52C"/>
                <w:sz w:val="19"/>
              </w:rPr>
              <w:t>US$ 0,000</w:t>
            </w:r>
          </w:p>
        </w:tc>
        <w:tc>
          <w:tcPr>
            <w:tcW w:type="dxa" w:w="2520"/>
            <w:shd w:fill="F3F5F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52C"/>
                <w:sz w:val="19"/>
              </w:rPr>
              <w:t>US$ 61,748</w:t>
            </w:r>
          </w:p>
        </w:tc>
      </w:tr>
      <w:tr>
        <w:tc>
          <w:tcPr>
            <w:tcW w:type="dxa" w:w="2280"/>
            <w:shd w:fill="EAF5EE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26734D"/>
                <w:sz w:val="19"/>
              </w:rPr>
              <w:t>1 milhão</w:t>
            </w:r>
          </w:p>
        </w:tc>
        <w:tc>
          <w:tcPr>
            <w:tcW w:type="dxa" w:w="2040"/>
            <w:shd w:fill="EAF5EE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/>
                <w:b/>
                <w:i w:val="0"/>
                <w:color w:val="26734D"/>
                <w:sz w:val="19"/>
              </w:rPr>
              <w:t>US$ 0,400</w:t>
            </w:r>
          </w:p>
        </w:tc>
        <w:tc>
          <w:tcPr>
            <w:tcW w:type="dxa" w:w="2520"/>
            <w:shd w:fill="EAF5EE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/>
                <w:b/>
                <w:i w:val="0"/>
                <w:color w:val="26734D"/>
                <w:sz w:val="19"/>
              </w:rPr>
              <w:t>US$ 0,800</w:t>
            </w:r>
          </w:p>
        </w:tc>
        <w:tc>
          <w:tcPr>
            <w:tcW w:type="dxa" w:w="2520"/>
            <w:shd w:fill="EAF5EE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/>
                <w:b/>
                <w:i w:val="0"/>
                <w:color w:val="26734D"/>
                <w:sz w:val="19"/>
              </w:rPr>
              <w:t>US$ 62,548</w:t>
            </w:r>
          </w:p>
        </w:tc>
      </w:tr>
      <w:tr>
        <w:tc>
          <w:tcPr>
            <w:tcW w:type="dxa" w:w="2280"/>
            <w:shd w:fill="F3F5F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D252C"/>
                <w:sz w:val="19"/>
              </w:rPr>
              <w:t>5 milhões</w:t>
            </w:r>
          </w:p>
        </w:tc>
        <w:tc>
          <w:tcPr>
            <w:tcW w:type="dxa" w:w="2040"/>
            <w:shd w:fill="F3F5F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52C"/>
                <w:sz w:val="19"/>
              </w:rPr>
              <w:t>US$ 2,000</w:t>
            </w:r>
          </w:p>
        </w:tc>
        <w:tc>
          <w:tcPr>
            <w:tcW w:type="dxa" w:w="2520"/>
            <w:shd w:fill="F3F5F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52C"/>
                <w:sz w:val="19"/>
              </w:rPr>
              <w:t>US$ 4,000</w:t>
            </w:r>
          </w:p>
        </w:tc>
        <w:tc>
          <w:tcPr>
            <w:tcW w:type="dxa" w:w="2520"/>
            <w:shd w:fill="F3F5F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52C"/>
                <w:sz w:val="19"/>
              </w:rPr>
              <w:t>US$ 65,748</w:t>
            </w:r>
          </w:p>
        </w:tc>
      </w:tr>
      <w:tr>
        <w:tc>
          <w:tcPr>
            <w:tcW w:type="dxa" w:w="228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D252C"/>
                <w:sz w:val="19"/>
              </w:rPr>
              <w:t>10 milhões</w:t>
            </w:r>
          </w:p>
        </w:tc>
        <w:tc>
          <w:tcPr>
            <w:tcW w:type="dxa" w:w="204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52C"/>
                <w:sz w:val="19"/>
              </w:rPr>
              <w:t>US$ 4,000</w:t>
            </w:r>
          </w:p>
        </w:tc>
        <w:tc>
          <w:tcPr>
            <w:tcW w:type="dxa" w:w="252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52C"/>
                <w:sz w:val="19"/>
              </w:rPr>
              <w:t>US$ 8,000</w:t>
            </w:r>
          </w:p>
        </w:tc>
        <w:tc>
          <w:tcPr>
            <w:tcW w:type="dxa" w:w="252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52C"/>
                <w:sz w:val="19"/>
              </w:rPr>
              <w:t>US$ 69,748</w:t>
            </w:r>
          </w:p>
        </w:tc>
      </w:tr>
    </w:tbl>
    <w:p>
      <w:pPr>
        <w:spacing w:before="80" w:after="200" w:line="264" w:lineRule="auto"/>
      </w:pPr>
      <w:r>
        <w:rPr>
          <w:rFonts w:ascii="Calibri" w:hAnsi="Calibri"/>
          <w:b w:val="0"/>
          <w:i/>
          <w:color w:val="5E6A75"/>
          <w:sz w:val="17"/>
        </w:rPr>
        <w:t>* Considera os dois ambientes escalando simultaneamente e mantém inalterados os custos de Redis e PostgreSQL.</w:t>
      </w:r>
    </w:p>
    <w:p>
      <w:pPr>
        <w:pStyle w:val="Heading1"/>
      </w:pPr>
      <w:r>
        <w:t>4. Exemplos rápidos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/>
          <w:b/>
          <w:i w:val="0"/>
          <w:color w:val="16324F"/>
          <w:sz w:val="20"/>
        </w:rPr>
        <w:t xml:space="preserve">Somente PROD com +1 milhão: </w:t>
      </w:r>
      <w:r>
        <w:rPr>
          <w:rFonts w:ascii="Calibri" w:hAnsi="Calibri"/>
          <w:b w:val="0"/>
          <w:i w:val="0"/>
          <w:color w:val="1D252C"/>
          <w:sz w:val="20"/>
        </w:rPr>
        <w:t>acréscimo de US$ 0,400; novo total consolidado de US$ 62,148/mês.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/>
          <w:b/>
          <w:i w:val="0"/>
          <w:color w:val="16324F"/>
          <w:sz w:val="20"/>
        </w:rPr>
        <w:t xml:space="preserve">DEV e PROD com +1 milhão cada: </w:t>
      </w:r>
      <w:r>
        <w:rPr>
          <w:rFonts w:ascii="Calibri" w:hAnsi="Calibri"/>
          <w:b w:val="0"/>
          <w:i w:val="0"/>
          <w:color w:val="1D252C"/>
          <w:sz w:val="20"/>
        </w:rPr>
        <w:t>acréscimo de US$ 0,800; novo total consolidado de US$ 62,548/mês.</w:t>
      </w:r>
    </w:p>
    <w:p>
      <w:pPr>
        <w:pStyle w:val="Heading1"/>
      </w:pPr>
      <w:r>
        <w:t>5. Observações e validade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5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80" w:line="264" w:lineRule="auto"/>
            </w:pPr>
            <w:r>
              <w:rPr>
                <w:rFonts w:ascii="Calibri" w:hAnsi="Calibri"/>
                <w:b/>
                <w:i w:val="0"/>
                <w:color w:val="16324F"/>
                <w:sz w:val="18"/>
              </w:rPr>
              <w:t xml:space="preserve">Base adotada: </w:t>
            </w:r>
            <w:r>
              <w:rPr>
                <w:rFonts w:ascii="Calibri" w:hAnsi="Calibri"/>
                <w:b w:val="0"/>
                <w:i w:val="0"/>
                <w:color w:val="1D252C"/>
                <w:sz w:val="18"/>
              </w:rPr>
              <w:t>Redis e CAE seguem o arquivo ExportedEstimate.xlsx; PostgreSQL considera o valor da captura, de US$ 16,09/mês. O total é US$ 30,874 por ambiente.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6324F"/>
                <w:sz w:val="18"/>
              </w:rPr>
              <w:t xml:space="preserve">Natureza da estimativa: </w:t>
            </w:r>
            <w:r>
              <w:rPr>
                <w:rFonts w:ascii="Calibri" w:hAnsi="Calibri"/>
                <w:b w:val="0"/>
                <w:i w:val="0"/>
                <w:color w:val="1D252C"/>
                <w:sz w:val="18"/>
              </w:rPr>
              <w:t>os valores não constituem cotação e podem variar por região, câmbio, horas faturadas, consumo, impostos e atualização da tabela de preços da Azure.</w:t>
            </w:r>
          </w:p>
        </w:tc>
      </w:tr>
    </w:tbl>
    <w:p>
      <w:pPr>
        <w:spacing w:before="160" w:after="0" w:line="264" w:lineRule="auto"/>
      </w:pPr>
      <w:r>
        <w:rPr>
          <w:rFonts w:ascii="Calibri" w:hAnsi="Calibri"/>
          <w:b w:val="0"/>
          <w:i w:val="0"/>
          <w:color w:val="5E6A75"/>
          <w:sz w:val="17"/>
        </w:rPr>
        <w:t>Fonte: Microsoft Azure Pricing Calculator e arquivo de estimativa exportado em 17/07/2026.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right"/>
    </w:pPr>
    <w:r>
      <w:rPr>
        <w:rFonts w:ascii="Calibri" w:hAnsi="Calibri"/>
        <w:b w:val="0"/>
        <w:i w:val="0"/>
        <w:color w:val="5E6A75"/>
        <w:sz w:val="17"/>
      </w:rPr>
      <w:t xml:space="preserve">Documento de apresentação de preços  |  Página </w:t>
    </w:r>
    <w:r>
      <w:rPr>
        <w:rFonts w:ascii="Calibri" w:hAnsi="Calibri"/>
        <w:b w:val="0"/>
        <w:i w:val="0"/>
        <w:color w:val="5E6A7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4" w:lineRule="auto"/>
    </w:pPr>
    <w:r>
      <w:rPr>
        <w:rFonts w:ascii="Calibri" w:hAnsi="Calibri"/>
        <w:b/>
        <w:i w:val="0"/>
        <w:color w:val="5E6A75"/>
        <w:sz w:val="17"/>
      </w:rPr>
      <w:t>ESTIMATIVA DE INFRAESTRUTURA AZURE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D25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474A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474A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6324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Estimativa de custos Azure - DEV e PROD</dc:title>
  <dc:subject>Apresentação de preços mensais e escalabilidade do Azure Container Apps</dc:subject>
  <dc:creator>Arthur Correia</dc:creator>
  <cp:keywords>Azure, DEV, PROD, Container Apps, Redis, PostgreSQL, custos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