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Development Log</w:t>
      </w:r>
    </w:p>
    <w:p>
      <w:r>
        <w:rPr>
          <w:b/>
        </w:rPr>
        <w:t>Project Title:</w:t>
        <w:br/>
      </w:r>
      <w:r>
        <w:t>Does the use of deep learning models that are trained on normal chest X-rays and a small set of common thoracic diseases effectively detect previously unknown thoracic diseases as abnormal?</w:t>
      </w:r>
    </w:p>
    <w:p>
      <w:r>
        <w:rPr>
          <w:b/>
        </w:rPr>
        <w:t xml:space="preserve">Student: </w:t>
      </w:r>
      <w:r>
        <w:t>Thushan Pamoditha</w:t>
      </w:r>
    </w:p>
    <w:p>
      <w:r>
        <w:rPr>
          <w:b/>
        </w:rPr>
        <w:t xml:space="preserve">Supervisor: </w:t>
      </w:r>
      <w:r>
        <w:t>Dr Adrian Bishop</w:t>
      </w:r>
    </w:p>
    <w:p>
      <w:r>
        <w:rPr>
          <w:b/>
        </w:rPr>
        <w:t xml:space="preserve">Progress covered: </w:t>
      </w:r>
      <w:r>
        <w:t>Steps 1-10 (Dataset preparation through model comparison)</w:t>
      </w:r>
    </w:p>
    <w:p>
      <w:pPr>
        <w:pStyle w:val="Heading2"/>
      </w:pPr>
      <w:r>
        <w:t>Contents</w:t>
      </w:r>
    </w:p>
    <w:p>
      <w:pPr>
        <w:pStyle w:val="ListBullet"/>
      </w:pPr>
      <w:r>
        <w:t>1. Project Overview</w:t>
      </w:r>
    </w:p>
    <w:p>
      <w:pPr>
        <w:pStyle w:val="ListBullet"/>
      </w:pPr>
      <w:r>
        <w:t>2. Development Progress Summary</w:t>
      </w:r>
    </w:p>
    <w:p>
      <w:pPr>
        <w:pStyle w:val="ListBullet"/>
      </w:pPr>
      <w:r>
        <w:t>3. Steps 1-3: Dataset Preparation and Validation</w:t>
      </w:r>
    </w:p>
    <w:p>
      <w:pPr>
        <w:pStyle w:val="ListBullet"/>
      </w:pPr>
      <w:r>
        <w:t>4. Step 4: Unseen Disease Simulation</w:t>
      </w:r>
    </w:p>
    <w:p>
      <w:pPr>
        <w:pStyle w:val="ListBullet"/>
      </w:pPr>
      <w:r>
        <w:t>5. Steps 5-6: Model Setup and Training Pipeline</w:t>
      </w:r>
    </w:p>
    <w:p>
      <w:pPr>
        <w:pStyle w:val="ListBullet"/>
      </w:pPr>
      <w:r>
        <w:t>6. Step 7: Baseline Model Training</w:t>
      </w:r>
    </w:p>
    <w:p>
      <w:pPr>
        <w:pStyle w:val="ListBullet"/>
      </w:pPr>
      <w:r>
        <w:t>7. Step 8: Unseen Disease Training</w:t>
      </w:r>
    </w:p>
    <w:p>
      <w:pPr>
        <w:pStyle w:val="ListBullet"/>
      </w:pPr>
      <w:r>
        <w:t>8. Step 9: Experimental Testing</w:t>
      </w:r>
    </w:p>
    <w:p>
      <w:pPr>
        <w:pStyle w:val="ListBullet"/>
      </w:pPr>
      <w:r>
        <w:t>9. Step 10: Binary vs Disease-Specific Model Comparison</w:t>
      </w:r>
    </w:p>
    <w:p>
      <w:pPr>
        <w:pStyle w:val="ListBullet"/>
      </w:pPr>
      <w:r>
        <w:t>10. Key Findings So Far</w:t>
      </w:r>
    </w:p>
    <w:p>
      <w:pPr>
        <w:pStyle w:val="ListBullet"/>
      </w:pPr>
      <w:r>
        <w:t>11. Project Status and Next Step</w:t>
      </w:r>
    </w:p>
    <w:p>
      <w:pPr>
        <w:pStyle w:val="ListBullet"/>
      </w:pPr>
      <w:r>
        <w:t>12. GitHub Repository and Evidence</w:t>
      </w:r>
    </w:p>
    <w:p>
      <w:pPr>
        <w:pStyle w:val="Heading2"/>
      </w:pPr>
      <w:r>
        <w:t>1. Project Overview</w:t>
      </w:r>
    </w:p>
    <w:p>
      <w:r>
        <w:t>This research investigates whether deep learning models can recognise chest X-rays containing thoracic diseases that were deliberately excluded from model training. The NIH ChestX-ray14 dataset is used to simulate this situation. Two architectures, DenseNet121 and ResNet50, are evaluated. The project first develops a direct binary classifier that predicts Normal or Abnormal. It then develops disease-specific multi-label models and collapses their outputs to a binary decision: if any known disease is predicted, the image is treated as Abnormal; otherwise it is treated as Normal.</w:t>
      </w:r>
    </w:p>
    <w:p>
      <w:r>
        <w:t>The current implementation uses 14,999 locally available chest X-ray images from the first two NIH image archives. Four diseases were selected for unseen-disease experiments: Atelectasis, Effusion, Pneumonia and Pneumothorax. The workflow has now progressed through model comparison (Step 10).</w:t>
      </w:r>
    </w:p>
    <w:p>
      <w:pPr>
        <w:pStyle w:val="Heading2"/>
      </w:pPr>
      <w:r>
        <w:t>2. Development Progress Summary</w:t>
      </w:r>
    </w:p>
    <w:tbl>
      <w:tblPr>
        <w:tblStyle w:val="TableGrid"/>
        <w:tblW w:type="auto" w:w="0"/>
        <w:jc w:val="center"/>
        <w:tblLook w:firstColumn="1" w:firstRow="1" w:lastColumn="0" w:lastRow="0" w:noHBand="0" w:noVBand="1" w:val="04A0"/>
      </w:tblPr>
      <w:tblGrid>
        <w:gridCol w:w="3312"/>
        <w:gridCol w:w="3312"/>
        <w:gridCol w:w="3312"/>
      </w:tblGrid>
      <w:tr>
        <w:tc>
          <w:tcPr>
            <w:tcW w:type="dxa" w:w="864"/>
            <w:vAlign w:val="center"/>
            <w:shd w:fill="D9EAF7"/>
          </w:tcPr>
          <w:p>
            <w:r/>
            <w:r>
              <w:rPr>
                <w:rFonts w:ascii="Arial" w:hAnsi="Arial"/>
                <w:b/>
                <w:sz w:val="18"/>
              </w:rPr>
              <w:t>Step</w:t>
            </w:r>
          </w:p>
        </w:tc>
        <w:tc>
          <w:tcPr>
            <w:tcW w:type="dxa" w:w="7056"/>
            <w:vAlign w:val="center"/>
            <w:shd w:fill="D9EAF7"/>
          </w:tcPr>
          <w:p>
            <w:r/>
            <w:r>
              <w:rPr>
                <w:rFonts w:ascii="Arial" w:hAnsi="Arial"/>
                <w:b/>
                <w:sz w:val="18"/>
              </w:rPr>
              <w:t>Stage</w:t>
            </w:r>
          </w:p>
        </w:tc>
        <w:tc>
          <w:tcPr>
            <w:tcW w:type="dxa" w:w="1872"/>
            <w:vAlign w:val="center"/>
            <w:shd w:fill="D9EAF7"/>
          </w:tcPr>
          <w:p>
            <w:r/>
            <w:r>
              <w:rPr>
                <w:rFonts w:ascii="Arial" w:hAnsi="Arial"/>
                <w:b/>
                <w:sz w:val="18"/>
              </w:rPr>
              <w:t>Status</w:t>
            </w:r>
          </w:p>
        </w:tc>
      </w:tr>
      <w:tr>
        <w:tc>
          <w:tcPr>
            <w:tcW w:type="dxa" w:w="864"/>
            <w:vAlign w:val="center"/>
          </w:tcPr>
          <w:p>
            <w:r/>
            <w:r>
              <w:rPr>
                <w:rFonts w:ascii="Arial" w:hAnsi="Arial"/>
                <w:b w:val="0"/>
                <w:sz w:val="17"/>
              </w:rPr>
              <w:t>1</w:t>
            </w:r>
          </w:p>
        </w:tc>
        <w:tc>
          <w:tcPr>
            <w:tcW w:type="dxa" w:w="7056"/>
            <w:vAlign w:val="center"/>
          </w:tcPr>
          <w:p>
            <w:r/>
            <w:r>
              <w:rPr>
                <w:rFonts w:ascii="Arial" w:hAnsi="Arial"/>
                <w:b w:val="0"/>
                <w:sz w:val="17"/>
              </w:rPr>
              <w:t>Dataset Selection &amp; Understanding</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2</w:t>
            </w:r>
          </w:p>
        </w:tc>
        <w:tc>
          <w:tcPr>
            <w:tcW w:type="dxa" w:w="7056"/>
            <w:vAlign w:val="center"/>
          </w:tcPr>
          <w:p>
            <w:r/>
            <w:r>
              <w:rPr>
                <w:rFonts w:ascii="Arial" w:hAnsi="Arial"/>
                <w:b w:val="0"/>
                <w:sz w:val="17"/>
              </w:rPr>
              <w:t>Data Cleaning &amp; Preprocessing</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3</w:t>
            </w:r>
          </w:p>
        </w:tc>
        <w:tc>
          <w:tcPr>
            <w:tcW w:type="dxa" w:w="7056"/>
            <w:vAlign w:val="center"/>
          </w:tcPr>
          <w:p>
            <w:r/>
            <w:r>
              <w:rPr>
                <w:rFonts w:ascii="Arial" w:hAnsi="Arial"/>
                <w:b w:val="0"/>
                <w:sz w:val="17"/>
              </w:rPr>
              <w:t>Data Splitting Strategy</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4</w:t>
            </w:r>
          </w:p>
        </w:tc>
        <w:tc>
          <w:tcPr>
            <w:tcW w:type="dxa" w:w="7056"/>
            <w:vAlign w:val="center"/>
          </w:tcPr>
          <w:p>
            <w:r/>
            <w:r>
              <w:rPr>
                <w:rFonts w:ascii="Arial" w:hAnsi="Arial"/>
                <w:b w:val="0"/>
                <w:sz w:val="17"/>
              </w:rPr>
              <w:t>Unseen Disease Simulation</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5</w:t>
            </w:r>
          </w:p>
        </w:tc>
        <w:tc>
          <w:tcPr>
            <w:tcW w:type="dxa" w:w="7056"/>
            <w:vAlign w:val="center"/>
          </w:tcPr>
          <w:p>
            <w:r/>
            <w:r>
              <w:rPr>
                <w:rFonts w:ascii="Arial" w:hAnsi="Arial"/>
                <w:b w:val="0"/>
                <w:sz w:val="17"/>
              </w:rPr>
              <w:t>Model Setup</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6</w:t>
            </w:r>
          </w:p>
        </w:tc>
        <w:tc>
          <w:tcPr>
            <w:tcW w:type="dxa" w:w="7056"/>
            <w:vAlign w:val="center"/>
          </w:tcPr>
          <w:p>
            <w:r/>
            <w:r>
              <w:rPr>
                <w:rFonts w:ascii="Arial" w:hAnsi="Arial"/>
                <w:b w:val="0"/>
                <w:sz w:val="17"/>
              </w:rPr>
              <w:t>Training Pipeline</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7</w:t>
            </w:r>
          </w:p>
        </w:tc>
        <w:tc>
          <w:tcPr>
            <w:tcW w:type="dxa" w:w="7056"/>
            <w:vAlign w:val="center"/>
          </w:tcPr>
          <w:p>
            <w:r/>
            <w:r>
              <w:rPr>
                <w:rFonts w:ascii="Arial" w:hAnsi="Arial"/>
                <w:b w:val="0"/>
                <w:sz w:val="17"/>
              </w:rPr>
              <w:t>Baseline Model Training</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8</w:t>
            </w:r>
          </w:p>
        </w:tc>
        <w:tc>
          <w:tcPr>
            <w:tcW w:type="dxa" w:w="7056"/>
            <w:vAlign w:val="center"/>
          </w:tcPr>
          <w:p>
            <w:r/>
            <w:r>
              <w:rPr>
                <w:rFonts w:ascii="Arial" w:hAnsi="Arial"/>
                <w:b w:val="0"/>
                <w:sz w:val="17"/>
              </w:rPr>
              <w:t>Unseen Disease Training</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9</w:t>
            </w:r>
          </w:p>
        </w:tc>
        <w:tc>
          <w:tcPr>
            <w:tcW w:type="dxa" w:w="7056"/>
            <w:vAlign w:val="center"/>
          </w:tcPr>
          <w:p>
            <w:r/>
            <w:r>
              <w:rPr>
                <w:rFonts w:ascii="Arial" w:hAnsi="Arial"/>
                <w:b w:val="0"/>
                <w:sz w:val="17"/>
              </w:rPr>
              <w:t>Experimental Testing</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10</w:t>
            </w:r>
          </w:p>
        </w:tc>
        <w:tc>
          <w:tcPr>
            <w:tcW w:type="dxa" w:w="7056"/>
            <w:vAlign w:val="center"/>
          </w:tcPr>
          <w:p>
            <w:r/>
            <w:r>
              <w:rPr>
                <w:rFonts w:ascii="Arial" w:hAnsi="Arial"/>
                <w:b w:val="0"/>
                <w:sz w:val="17"/>
              </w:rPr>
              <w:t>Model Comparison</w:t>
            </w:r>
          </w:p>
        </w:tc>
        <w:tc>
          <w:tcPr>
            <w:tcW w:type="dxa" w:w="1872"/>
            <w:vAlign w:val="center"/>
          </w:tcPr>
          <w:p>
            <w:r/>
            <w:r>
              <w:rPr>
                <w:rFonts w:ascii="Arial" w:hAnsi="Arial"/>
                <w:b w:val="0"/>
                <w:sz w:val="17"/>
              </w:rPr>
              <w:t>Completed</w:t>
            </w:r>
          </w:p>
        </w:tc>
      </w:tr>
      <w:tr>
        <w:tc>
          <w:tcPr>
            <w:tcW w:type="dxa" w:w="864"/>
            <w:vAlign w:val="center"/>
          </w:tcPr>
          <w:p>
            <w:r/>
            <w:r>
              <w:rPr>
                <w:rFonts w:ascii="Arial" w:hAnsi="Arial"/>
                <w:b w:val="0"/>
                <w:sz w:val="17"/>
              </w:rPr>
              <w:t>11</w:t>
            </w:r>
          </w:p>
        </w:tc>
        <w:tc>
          <w:tcPr>
            <w:tcW w:type="dxa" w:w="7056"/>
            <w:vAlign w:val="center"/>
          </w:tcPr>
          <w:p>
            <w:r/>
            <w:r>
              <w:rPr>
                <w:rFonts w:ascii="Arial" w:hAnsi="Arial"/>
                <w:b w:val="0"/>
                <w:sz w:val="17"/>
              </w:rPr>
              <w:t>Performance Evaluation</w:t>
            </w:r>
          </w:p>
        </w:tc>
        <w:tc>
          <w:tcPr>
            <w:tcW w:type="dxa" w:w="1872"/>
            <w:vAlign w:val="center"/>
          </w:tcPr>
          <w:p>
            <w:r/>
            <w:r>
              <w:rPr>
                <w:rFonts w:ascii="Arial" w:hAnsi="Arial"/>
                <w:b w:val="0"/>
                <w:sz w:val="17"/>
              </w:rPr>
              <w:t>Next</w:t>
            </w:r>
          </w:p>
        </w:tc>
      </w:tr>
      <w:tr>
        <w:tc>
          <w:tcPr>
            <w:tcW w:type="dxa" w:w="864"/>
            <w:vAlign w:val="center"/>
          </w:tcPr>
          <w:p>
            <w:r/>
            <w:r>
              <w:rPr>
                <w:rFonts w:ascii="Arial" w:hAnsi="Arial"/>
                <w:b w:val="0"/>
                <w:sz w:val="17"/>
              </w:rPr>
              <w:t>12</w:t>
            </w:r>
          </w:p>
        </w:tc>
        <w:tc>
          <w:tcPr>
            <w:tcW w:type="dxa" w:w="7056"/>
            <w:vAlign w:val="center"/>
          </w:tcPr>
          <w:p>
            <w:r/>
            <w:r>
              <w:rPr>
                <w:rFonts w:ascii="Arial" w:hAnsi="Arial"/>
                <w:b w:val="0"/>
                <w:sz w:val="17"/>
              </w:rPr>
              <w:t>Explainability Analysis</w:t>
            </w:r>
          </w:p>
        </w:tc>
        <w:tc>
          <w:tcPr>
            <w:tcW w:type="dxa" w:w="1872"/>
            <w:vAlign w:val="center"/>
          </w:tcPr>
          <w:p>
            <w:r/>
            <w:r>
              <w:rPr>
                <w:rFonts w:ascii="Arial" w:hAnsi="Arial"/>
                <w:b w:val="0"/>
                <w:sz w:val="17"/>
              </w:rPr>
              <w:t>Not started</w:t>
            </w:r>
          </w:p>
        </w:tc>
      </w:tr>
      <w:tr>
        <w:tc>
          <w:tcPr>
            <w:tcW w:type="dxa" w:w="864"/>
            <w:vAlign w:val="center"/>
          </w:tcPr>
          <w:p>
            <w:r/>
            <w:r>
              <w:rPr>
                <w:rFonts w:ascii="Arial" w:hAnsi="Arial"/>
                <w:b w:val="0"/>
                <w:sz w:val="17"/>
              </w:rPr>
              <w:t>13</w:t>
            </w:r>
          </w:p>
        </w:tc>
        <w:tc>
          <w:tcPr>
            <w:tcW w:type="dxa" w:w="7056"/>
            <w:vAlign w:val="center"/>
          </w:tcPr>
          <w:p>
            <w:r/>
            <w:r>
              <w:rPr>
                <w:rFonts w:ascii="Arial" w:hAnsi="Arial"/>
                <w:b w:val="0"/>
                <w:sz w:val="17"/>
              </w:rPr>
              <w:t>Result Analysis</w:t>
            </w:r>
          </w:p>
        </w:tc>
        <w:tc>
          <w:tcPr>
            <w:tcW w:type="dxa" w:w="1872"/>
            <w:vAlign w:val="center"/>
          </w:tcPr>
          <w:p>
            <w:r/>
            <w:r>
              <w:rPr>
                <w:rFonts w:ascii="Arial" w:hAnsi="Arial"/>
                <w:b w:val="0"/>
                <w:sz w:val="17"/>
              </w:rPr>
              <w:t>Not started</w:t>
            </w:r>
          </w:p>
        </w:tc>
      </w:tr>
      <w:tr>
        <w:tc>
          <w:tcPr>
            <w:tcW w:type="dxa" w:w="864"/>
            <w:vAlign w:val="center"/>
          </w:tcPr>
          <w:p>
            <w:r/>
            <w:r>
              <w:rPr>
                <w:rFonts w:ascii="Arial" w:hAnsi="Arial"/>
                <w:b w:val="0"/>
                <w:sz w:val="17"/>
              </w:rPr>
              <w:t>14</w:t>
            </w:r>
          </w:p>
        </w:tc>
        <w:tc>
          <w:tcPr>
            <w:tcW w:type="dxa" w:w="7056"/>
            <w:vAlign w:val="center"/>
          </w:tcPr>
          <w:p>
            <w:r/>
            <w:r>
              <w:rPr>
                <w:rFonts w:ascii="Arial" w:hAnsi="Arial"/>
                <w:b w:val="0"/>
                <w:sz w:val="17"/>
              </w:rPr>
              <w:t>Final Solution</w:t>
            </w:r>
          </w:p>
        </w:tc>
        <w:tc>
          <w:tcPr>
            <w:tcW w:type="dxa" w:w="1872"/>
            <w:vAlign w:val="center"/>
          </w:tcPr>
          <w:p>
            <w:r/>
            <w:r>
              <w:rPr>
                <w:rFonts w:ascii="Arial" w:hAnsi="Arial"/>
                <w:b w:val="0"/>
                <w:sz w:val="17"/>
              </w:rPr>
              <w:t>Not started</w:t>
            </w:r>
          </w:p>
        </w:tc>
      </w:tr>
    </w:tbl>
    <w:p/>
    <w:p>
      <w:pPr>
        <w:pStyle w:val="Heading2"/>
      </w:pPr>
      <w:r>
        <w:t>3. Steps 1-3: Dataset Preparation and Validation</w:t>
      </w:r>
    </w:p>
    <w:p>
      <w:pPr>
        <w:pStyle w:val="Heading3"/>
      </w:pPr>
      <w:r>
        <w:t>3.1 Step 1 - Dataset Selection and Understanding</w:t>
      </w:r>
    </w:p>
    <w:p>
      <w:r>
        <w:t>The NIH ChestX-ray14 dataset was selected because it contains frontal chest X-ray images with 14 thoracic disease labels and a No Finding category. The locally available subset contained 14,999 PNG images. Metadata records were examined to understand the label structure and to identify suitable diseases for the unseen-disease experiments.</w:t>
      </w:r>
    </w:p>
    <w:p>
      <w:pPr>
        <w:pStyle w:val="ListBullet"/>
      </w:pPr>
      <w:r>
        <w:t>Total locally available images: 14,999.</w:t>
      </w:r>
    </w:p>
    <w:p>
      <w:pPr>
        <w:pStyle w:val="ListBullet"/>
      </w:pPr>
      <w:r>
        <w:t>Binary definition: 0 = Normal / No Finding; 1 = Abnormal / one or more thoracic disease labels.</w:t>
      </w:r>
    </w:p>
    <w:p>
      <w:pPr>
        <w:pStyle w:val="ListBullet"/>
      </w:pPr>
      <w:r>
        <w:t>Four selected unseen-disease candidates: Atelectasis, Effusion, Pneumonia and Pneumothorax.</w:t>
      </w:r>
    </w:p>
    <w:p>
      <w:pPr>
        <w:pStyle w:val="ListBullet"/>
      </w:pPr>
      <w:r>
        <w:t>Pneumonia has a comparatively small unseen test sample and will therefore require cautious interpretation.</w:t>
      </w:r>
    </w:p>
    <w:p>
      <w:pPr>
        <w:pStyle w:val="Heading3"/>
      </w:pPr>
      <w:r>
        <w:t>3.2 Step 2 - Data Cleaning and Preprocessing</w:t>
      </w:r>
    </w:p>
    <w:p>
      <w:r>
        <w:t>Metadata was matched with the locally available image files. Binary labels and 14 disease-specific indicator columns were retained, and the processed data was saved as available_data.csv. The final processed subset contained 8,753 normal images and 6,246 abnormal images.</w:t>
      </w:r>
    </w:p>
    <w:tbl>
      <w:tblPr>
        <w:tblStyle w:val="TableGrid"/>
        <w:tblW w:type="auto" w:w="0"/>
        <w:jc w:val="center"/>
        <w:tblLook w:firstColumn="1" w:firstRow="1" w:lastColumn="0" w:lastRow="0" w:noHBand="0" w:noVBand="1" w:val="04A0"/>
      </w:tblPr>
      <w:tblGrid>
        <w:gridCol w:w="3312"/>
        <w:gridCol w:w="3312"/>
        <w:gridCol w:w="3312"/>
      </w:tblGrid>
      <w:tr>
        <w:tc>
          <w:tcPr>
            <w:tcW w:type="dxa" w:w="4032"/>
            <w:vAlign w:val="center"/>
            <w:shd w:fill="D9EAF7"/>
          </w:tcPr>
          <w:p>
            <w:r/>
            <w:r>
              <w:rPr>
                <w:rFonts w:ascii="Arial" w:hAnsi="Arial"/>
                <w:b/>
                <w:sz w:val="18"/>
              </w:rPr>
              <w:t>Class</w:t>
            </w:r>
          </w:p>
        </w:tc>
        <w:tc>
          <w:tcPr>
            <w:tcW w:type="dxa" w:w="2160"/>
            <w:vAlign w:val="center"/>
            <w:shd w:fill="D9EAF7"/>
          </w:tcPr>
          <w:p>
            <w:r/>
            <w:r>
              <w:rPr>
                <w:rFonts w:ascii="Arial" w:hAnsi="Arial"/>
                <w:b/>
                <w:sz w:val="18"/>
              </w:rPr>
              <w:t>Images</w:t>
            </w:r>
          </w:p>
        </w:tc>
        <w:tc>
          <w:tcPr>
            <w:tcW w:type="dxa" w:w="2160"/>
            <w:vAlign w:val="center"/>
            <w:shd w:fill="D9EAF7"/>
          </w:tcPr>
          <w:p>
            <w:r/>
            <w:r>
              <w:rPr>
                <w:rFonts w:ascii="Arial" w:hAnsi="Arial"/>
                <w:b/>
                <w:sz w:val="18"/>
              </w:rPr>
              <w:t>Percentage</w:t>
            </w:r>
          </w:p>
        </w:tc>
      </w:tr>
      <w:tr>
        <w:tc>
          <w:tcPr>
            <w:tcW w:type="dxa" w:w="4032"/>
            <w:vAlign w:val="center"/>
          </w:tcPr>
          <w:p>
            <w:r/>
            <w:r>
              <w:rPr>
                <w:rFonts w:ascii="Arial" w:hAnsi="Arial"/>
                <w:b w:val="0"/>
                <w:sz w:val="17"/>
              </w:rPr>
              <w:t>Normal (0)</w:t>
            </w:r>
          </w:p>
        </w:tc>
        <w:tc>
          <w:tcPr>
            <w:tcW w:type="dxa" w:w="2160"/>
            <w:vAlign w:val="center"/>
          </w:tcPr>
          <w:p>
            <w:r/>
            <w:r>
              <w:rPr>
                <w:rFonts w:ascii="Arial" w:hAnsi="Arial"/>
                <w:b w:val="0"/>
                <w:sz w:val="17"/>
              </w:rPr>
              <w:t>8,753</w:t>
            </w:r>
          </w:p>
        </w:tc>
        <w:tc>
          <w:tcPr>
            <w:tcW w:type="dxa" w:w="2160"/>
            <w:vAlign w:val="center"/>
          </w:tcPr>
          <w:p>
            <w:r/>
            <w:r>
              <w:rPr>
                <w:rFonts w:ascii="Arial" w:hAnsi="Arial"/>
                <w:b w:val="0"/>
                <w:sz w:val="17"/>
              </w:rPr>
              <w:t>58.36%</w:t>
            </w:r>
          </w:p>
        </w:tc>
      </w:tr>
      <w:tr>
        <w:tc>
          <w:tcPr>
            <w:tcW w:type="dxa" w:w="4032"/>
            <w:vAlign w:val="center"/>
          </w:tcPr>
          <w:p>
            <w:r/>
            <w:r>
              <w:rPr>
                <w:rFonts w:ascii="Arial" w:hAnsi="Arial"/>
                <w:b w:val="0"/>
                <w:sz w:val="17"/>
              </w:rPr>
              <w:t>Abnormal (1)</w:t>
            </w:r>
          </w:p>
        </w:tc>
        <w:tc>
          <w:tcPr>
            <w:tcW w:type="dxa" w:w="2160"/>
            <w:vAlign w:val="center"/>
          </w:tcPr>
          <w:p>
            <w:r/>
            <w:r>
              <w:rPr>
                <w:rFonts w:ascii="Arial" w:hAnsi="Arial"/>
                <w:b w:val="0"/>
                <w:sz w:val="17"/>
              </w:rPr>
              <w:t>6,246</w:t>
            </w:r>
          </w:p>
        </w:tc>
        <w:tc>
          <w:tcPr>
            <w:tcW w:type="dxa" w:w="2160"/>
            <w:vAlign w:val="center"/>
          </w:tcPr>
          <w:p>
            <w:r/>
            <w:r>
              <w:rPr>
                <w:rFonts w:ascii="Arial" w:hAnsi="Arial"/>
                <w:b w:val="0"/>
                <w:sz w:val="17"/>
              </w:rPr>
              <w:t>41.64%</w:t>
            </w:r>
          </w:p>
        </w:tc>
      </w:tr>
    </w:tbl>
    <w:p/>
    <w:p>
      <w:pPr>
        <w:pStyle w:val="Heading3"/>
      </w:pPr>
      <w:r>
        <w:t>3.3 Step 3 - Patient-Level Data Splitting and Validation</w:t>
      </w:r>
    </w:p>
    <w:p>
      <w:r>
        <w:t>The processed data was split at patient level so that images belonging to the same patient could not appear across training, validation and test sets. This prevents patient leakage and provides a more reliable evaluation of model generalisation.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vAlign w:val="center"/>
            <w:shd w:fill="D9EAF7"/>
          </w:tcPr>
          <w:p>
            <w:r/>
            <w:r>
              <w:rPr>
                <w:rFonts w:ascii="Arial" w:hAnsi="Arial"/>
                <w:b/>
                <w:sz w:val="18"/>
              </w:rPr>
              <w:t>Split</w:t>
            </w:r>
          </w:p>
        </w:tc>
        <w:tc>
          <w:tcPr>
            <w:tcW w:type="dxa" w:w="1728"/>
            <w:vAlign w:val="center"/>
            <w:shd w:fill="D9EAF7"/>
          </w:tcPr>
          <w:p>
            <w:r/>
            <w:r>
              <w:rPr>
                <w:rFonts w:ascii="Arial" w:hAnsi="Arial"/>
                <w:b/>
                <w:sz w:val="18"/>
              </w:rPr>
              <w:t>Images</w:t>
            </w:r>
          </w:p>
        </w:tc>
        <w:tc>
          <w:tcPr>
            <w:tcW w:type="dxa" w:w="1728"/>
            <w:vAlign w:val="center"/>
            <w:shd w:fill="D9EAF7"/>
          </w:tcPr>
          <w:p>
            <w:r/>
            <w:r>
              <w:rPr>
                <w:rFonts w:ascii="Arial" w:hAnsi="Arial"/>
                <w:b/>
                <w:sz w:val="18"/>
              </w:rPr>
              <w:t>Patients</w:t>
            </w:r>
          </w:p>
        </w:tc>
        <w:tc>
          <w:tcPr>
            <w:tcW w:type="dxa" w:w="1728"/>
            <w:vAlign w:val="center"/>
            <w:shd w:fill="D9EAF7"/>
          </w:tcPr>
          <w:p>
            <w:r/>
            <w:r>
              <w:rPr>
                <w:rFonts w:ascii="Arial" w:hAnsi="Arial"/>
                <w:b/>
                <w:sz w:val="18"/>
              </w:rPr>
              <w:t>Normal</w:t>
            </w:r>
          </w:p>
        </w:tc>
        <w:tc>
          <w:tcPr>
            <w:tcW w:type="dxa" w:w="1728"/>
            <w:vAlign w:val="center"/>
            <w:shd w:fill="D9EAF7"/>
          </w:tcPr>
          <w:p>
            <w:r/>
            <w:r>
              <w:rPr>
                <w:rFonts w:ascii="Arial" w:hAnsi="Arial"/>
                <w:b/>
                <w:sz w:val="18"/>
              </w:rPr>
              <w:t>Abnormal</w:t>
            </w:r>
          </w:p>
        </w:tc>
      </w:tr>
      <w:tr>
        <w:tc>
          <w:tcPr>
            <w:tcW w:type="dxa" w:w="2016"/>
            <w:vAlign w:val="center"/>
          </w:tcPr>
          <w:p>
            <w:r/>
            <w:r>
              <w:rPr>
                <w:rFonts w:ascii="Arial" w:hAnsi="Arial"/>
                <w:b w:val="0"/>
                <w:sz w:val="17"/>
              </w:rPr>
              <w:t>Training</w:t>
            </w:r>
          </w:p>
        </w:tc>
        <w:tc>
          <w:tcPr>
            <w:tcW w:type="dxa" w:w="1728"/>
            <w:vAlign w:val="center"/>
          </w:tcPr>
          <w:p>
            <w:r/>
            <w:r>
              <w:rPr>
                <w:rFonts w:ascii="Arial" w:hAnsi="Arial"/>
                <w:b w:val="0"/>
                <w:sz w:val="17"/>
              </w:rPr>
              <w:t>10,699</w:t>
            </w:r>
          </w:p>
        </w:tc>
        <w:tc>
          <w:tcPr>
            <w:tcW w:type="dxa" w:w="1728"/>
            <w:vAlign w:val="center"/>
          </w:tcPr>
          <w:p>
            <w:r/>
            <w:r>
              <w:rPr>
                <w:rFonts w:ascii="Arial" w:hAnsi="Arial"/>
                <w:b w:val="0"/>
                <w:sz w:val="17"/>
              </w:rPr>
              <w:t>2,746</w:t>
            </w:r>
          </w:p>
        </w:tc>
        <w:tc>
          <w:tcPr>
            <w:tcW w:type="dxa" w:w="1728"/>
            <w:vAlign w:val="center"/>
          </w:tcPr>
          <w:p>
            <w:r/>
            <w:r>
              <w:rPr>
                <w:rFonts w:ascii="Arial" w:hAnsi="Arial"/>
                <w:b w:val="0"/>
                <w:sz w:val="17"/>
              </w:rPr>
              <w:t>6,236</w:t>
            </w:r>
          </w:p>
        </w:tc>
        <w:tc>
          <w:tcPr>
            <w:tcW w:type="dxa" w:w="1728"/>
            <w:vAlign w:val="center"/>
          </w:tcPr>
          <w:p>
            <w:r/>
            <w:r>
              <w:rPr>
                <w:rFonts w:ascii="Arial" w:hAnsi="Arial"/>
                <w:b w:val="0"/>
                <w:sz w:val="17"/>
              </w:rPr>
              <w:t>4,463</w:t>
            </w:r>
          </w:p>
        </w:tc>
      </w:tr>
      <w:tr>
        <w:tc>
          <w:tcPr>
            <w:tcW w:type="dxa" w:w="2016"/>
            <w:vAlign w:val="center"/>
          </w:tcPr>
          <w:p>
            <w:r/>
            <w:r>
              <w:rPr>
                <w:rFonts w:ascii="Arial" w:hAnsi="Arial"/>
                <w:b w:val="0"/>
                <w:sz w:val="17"/>
              </w:rPr>
              <w:t>Validation</w:t>
            </w:r>
          </w:p>
        </w:tc>
        <w:tc>
          <w:tcPr>
            <w:tcW w:type="dxa" w:w="1728"/>
            <w:vAlign w:val="center"/>
          </w:tcPr>
          <w:p>
            <w:r/>
            <w:r>
              <w:rPr>
                <w:rFonts w:ascii="Arial" w:hAnsi="Arial"/>
                <w:b w:val="0"/>
                <w:sz w:val="17"/>
              </w:rPr>
              <w:t>2,179</w:t>
            </w:r>
          </w:p>
        </w:tc>
        <w:tc>
          <w:tcPr>
            <w:tcW w:type="dxa" w:w="1728"/>
            <w:vAlign w:val="center"/>
          </w:tcPr>
          <w:p>
            <w:r/>
            <w:r>
              <w:rPr>
                <w:rFonts w:ascii="Arial" w:hAnsi="Arial"/>
                <w:b w:val="0"/>
                <w:sz w:val="17"/>
              </w:rPr>
              <w:t>588</w:t>
            </w:r>
          </w:p>
        </w:tc>
        <w:tc>
          <w:tcPr>
            <w:tcW w:type="dxa" w:w="1728"/>
            <w:vAlign w:val="center"/>
          </w:tcPr>
          <w:p>
            <w:r/>
            <w:r>
              <w:rPr>
                <w:rFonts w:ascii="Arial" w:hAnsi="Arial"/>
                <w:b w:val="0"/>
                <w:sz w:val="17"/>
              </w:rPr>
              <w:t>1,257</w:t>
            </w:r>
          </w:p>
        </w:tc>
        <w:tc>
          <w:tcPr>
            <w:tcW w:type="dxa" w:w="1728"/>
            <w:vAlign w:val="center"/>
          </w:tcPr>
          <w:p>
            <w:r/>
            <w:r>
              <w:rPr>
                <w:rFonts w:ascii="Arial" w:hAnsi="Arial"/>
                <w:b w:val="0"/>
                <w:sz w:val="17"/>
              </w:rPr>
              <w:t>922</w:t>
            </w:r>
          </w:p>
        </w:tc>
      </w:tr>
      <w:tr>
        <w:tc>
          <w:tcPr>
            <w:tcW w:type="dxa" w:w="2016"/>
            <w:vAlign w:val="center"/>
          </w:tcPr>
          <w:p>
            <w:r/>
            <w:r>
              <w:rPr>
                <w:rFonts w:ascii="Arial" w:hAnsi="Arial"/>
                <w:b w:val="0"/>
                <w:sz w:val="17"/>
              </w:rPr>
              <w:t>Testing</w:t>
            </w:r>
          </w:p>
        </w:tc>
        <w:tc>
          <w:tcPr>
            <w:tcW w:type="dxa" w:w="1728"/>
            <w:vAlign w:val="center"/>
          </w:tcPr>
          <w:p>
            <w:r/>
            <w:r>
              <w:rPr>
                <w:rFonts w:ascii="Arial" w:hAnsi="Arial"/>
                <w:b w:val="0"/>
                <w:sz w:val="17"/>
              </w:rPr>
              <w:t>2,121</w:t>
            </w:r>
          </w:p>
        </w:tc>
        <w:tc>
          <w:tcPr>
            <w:tcW w:type="dxa" w:w="1728"/>
            <w:vAlign w:val="center"/>
          </w:tcPr>
          <w:p>
            <w:r/>
            <w:r>
              <w:rPr>
                <w:rFonts w:ascii="Arial" w:hAnsi="Arial"/>
                <w:b w:val="0"/>
                <w:sz w:val="17"/>
              </w:rPr>
              <w:t>589</w:t>
            </w:r>
          </w:p>
        </w:tc>
        <w:tc>
          <w:tcPr>
            <w:tcW w:type="dxa" w:w="1728"/>
            <w:vAlign w:val="center"/>
          </w:tcPr>
          <w:p>
            <w:r/>
            <w:r>
              <w:rPr>
                <w:rFonts w:ascii="Arial" w:hAnsi="Arial"/>
                <w:b w:val="0"/>
                <w:sz w:val="17"/>
              </w:rPr>
              <w:t>1,260</w:t>
            </w:r>
          </w:p>
        </w:tc>
        <w:tc>
          <w:tcPr>
            <w:tcW w:type="dxa" w:w="1728"/>
            <w:vAlign w:val="center"/>
          </w:tcPr>
          <w:p>
            <w:r/>
            <w:r>
              <w:rPr>
                <w:rFonts w:ascii="Arial" w:hAnsi="Arial"/>
                <w:b w:val="0"/>
                <w:sz w:val="17"/>
              </w:rPr>
              <w:t>861</w:t>
            </w:r>
          </w:p>
        </w:tc>
      </w:tr>
    </w:tbl>
    <w:p/>
    <w:p>
      <w:pPr>
        <w:pStyle w:val="ListBullet"/>
      </w:pPr>
      <w:r>
        <w:t>Train/validation patient overlap: 0.</w:t>
      </w:r>
    </w:p>
    <w:p>
      <w:pPr>
        <w:pStyle w:val="ListBullet"/>
      </w:pPr>
      <w:r>
        <w:t>Train/test patient overlap: 0.</w:t>
      </w:r>
    </w:p>
    <w:p>
      <w:pPr>
        <w:pStyle w:val="ListBullet"/>
      </w:pPr>
      <w:r>
        <w:t>Validation/test patient overlap: 0.</w:t>
      </w:r>
    </w:p>
    <w:p>
      <w:pPr>
        <w:pStyle w:val="ListBullet"/>
      </w:pPr>
      <w:r>
        <w:t>Missing images: 0.</w:t>
      </w:r>
    </w:p>
    <w:p>
      <w:pPr>
        <w:pStyle w:val="ListBullet"/>
      </w:pPr>
      <w:r>
        <w:t>Duplicate image records: 0.</w:t>
      </w:r>
    </w:p>
    <w:p>
      <w:pPr>
        <w:pStyle w:val="ListBullet"/>
      </w:pPr>
      <w:r>
        <w:t>All 14 diseases were represented in training, validation and test splits.</w:t>
      </w:r>
    </w:p>
    <w:p>
      <w:pPr>
        <w:jc w:val="center"/>
      </w:pPr>
      <w:r>
        <w:drawing>
          <wp:inline xmlns:a="http://schemas.openxmlformats.org/drawingml/2006/main" xmlns:pic="http://schemas.openxmlformats.org/drawingml/2006/picture">
            <wp:extent cx="5806440" cy="4372141"/>
            <wp:docPr id="1" name="Picture 1"/>
            <wp:cNvGraphicFramePr>
              <a:graphicFrameLocks noChangeAspect="1"/>
            </wp:cNvGraphicFramePr>
            <a:graphic>
              <a:graphicData uri="http://schemas.openxmlformats.org/drawingml/2006/picture">
                <pic:pic>
                  <pic:nvPicPr>
                    <pic:cNvPr id="0" name="dcd544fb-4825-4185-aa3e-ef0044bf0a6f.png"/>
                    <pic:cNvPicPr/>
                  </pic:nvPicPr>
                  <pic:blipFill>
                    <a:blip r:embed="rId10"/>
                    <a:stretch>
                      <a:fillRect/>
                    </a:stretch>
                  </pic:blipFill>
                  <pic:spPr>
                    <a:xfrm>
                      <a:off x="0" y="0"/>
                      <a:ext cx="5806440" cy="4372141"/>
                    </a:xfrm>
                    <a:prstGeom prst="rect"/>
                  </pic:spPr>
                </pic:pic>
              </a:graphicData>
            </a:graphic>
          </wp:inline>
        </w:drawing>
      </w:r>
    </w:p>
    <w:p>
      <w:pPr>
        <w:jc w:val="center"/>
      </w:pPr>
      <w:r>
        <w:rPr>
          <w:rFonts w:ascii="Arial" w:hAnsi="Arial"/>
          <w:b/>
          <w:sz w:val="18"/>
        </w:rPr>
        <w:t>Figure 1. Normal and abnormal image distribution across the training, validation and testing splits.</w:t>
      </w:r>
    </w:p>
    <w:p>
      <w:pPr>
        <w:jc w:val="both"/>
      </w:pPr>
      <w:r>
        <w:rPr>
          <w:rFonts w:ascii="Arial" w:hAnsi="Arial"/>
          <w:sz w:val="19"/>
        </w:rPr>
        <w:t>The class distribution remains reasonably consistent across all three patient-level splits. Normal images are more common than abnormal images, but both classes remain well represented in every split.</w:t>
      </w:r>
    </w:p>
    <w:p>
      <w:pPr>
        <w:jc w:val="center"/>
      </w:pPr>
      <w:r>
        <w:drawing>
          <wp:inline xmlns:a="http://schemas.openxmlformats.org/drawingml/2006/main" xmlns:pic="http://schemas.openxmlformats.org/drawingml/2006/picture">
            <wp:extent cx="5806440" cy="2916200"/>
            <wp:docPr id="2" name="Picture 2"/>
            <wp:cNvGraphicFramePr>
              <a:graphicFrameLocks noChangeAspect="1"/>
            </wp:cNvGraphicFramePr>
            <a:graphic>
              <a:graphicData uri="http://schemas.openxmlformats.org/drawingml/2006/picture">
                <pic:pic>
                  <pic:nvPicPr>
                    <pic:cNvPr id="0" name="65b19eec-cdcc-40e0-89f9-c52a7656a210.png"/>
                    <pic:cNvPicPr/>
                  </pic:nvPicPr>
                  <pic:blipFill>
                    <a:blip r:embed="rId11"/>
                    <a:stretch>
                      <a:fillRect/>
                    </a:stretch>
                  </pic:blipFill>
                  <pic:spPr>
                    <a:xfrm>
                      <a:off x="0" y="0"/>
                      <a:ext cx="5806440" cy="2916200"/>
                    </a:xfrm>
                    <a:prstGeom prst="rect"/>
                  </pic:spPr>
                </pic:pic>
              </a:graphicData>
            </a:graphic>
          </wp:inline>
        </w:drawing>
      </w:r>
    </w:p>
    <w:p>
      <w:pPr>
        <w:jc w:val="center"/>
      </w:pPr>
      <w:r>
        <w:rPr>
          <w:rFonts w:ascii="Arial" w:hAnsi="Arial"/>
          <w:b/>
          <w:sz w:val="18"/>
        </w:rPr>
        <w:t>Figure 2. Distribution of the 14 thoracic disease labels across the dataset splits.</w:t>
      </w:r>
    </w:p>
    <w:p>
      <w:pPr>
        <w:jc w:val="both"/>
      </w:pPr>
      <w:r>
        <w:rPr>
          <w:rFonts w:ascii="Arial" w:hAnsi="Arial"/>
          <w:sz w:val="19"/>
        </w:rPr>
        <w:t>The figure shows the expected class imbalance in the NIH ChestX-ray14 subset. Infiltration is the most frequent disease label, while labels such as Hernia, Pneumonia and Edema are comparatively rare. All 14 disease labels are represented across the training, validation and testing datasets.</w:t>
      </w:r>
    </w:p>
    <w:p>
      <w:pPr>
        <w:jc w:val="center"/>
      </w:pPr>
      <w:r>
        <w:drawing>
          <wp:inline xmlns:a="http://schemas.openxmlformats.org/drawingml/2006/main" xmlns:pic="http://schemas.openxmlformats.org/drawingml/2006/picture">
            <wp:extent cx="5806440" cy="3166365"/>
            <wp:docPr id="3" name="Picture 3"/>
            <wp:cNvGraphicFramePr>
              <a:graphicFrameLocks noChangeAspect="1"/>
            </wp:cNvGraphicFramePr>
            <a:graphic>
              <a:graphicData uri="http://schemas.openxmlformats.org/drawingml/2006/picture">
                <pic:pic>
                  <pic:nvPicPr>
                    <pic:cNvPr id="0" name="9ce7822c-7b76-4d8e-8a3d-3b825058e915.png"/>
                    <pic:cNvPicPr/>
                  </pic:nvPicPr>
                  <pic:blipFill>
                    <a:blip r:embed="rId12"/>
                    <a:stretch>
                      <a:fillRect/>
                    </a:stretch>
                  </pic:blipFill>
                  <pic:spPr>
                    <a:xfrm>
                      <a:off x="0" y="0"/>
                      <a:ext cx="5806440" cy="3166365"/>
                    </a:xfrm>
                    <a:prstGeom prst="rect"/>
                  </pic:spPr>
                </pic:pic>
              </a:graphicData>
            </a:graphic>
          </wp:inline>
        </w:drawing>
      </w:r>
    </w:p>
    <w:p>
      <w:pPr>
        <w:jc w:val="center"/>
      </w:pPr>
      <w:r>
        <w:rPr>
          <w:rFonts w:ascii="Arial" w:hAnsi="Arial"/>
          <w:b/>
          <w:sz w:val="18"/>
        </w:rPr>
        <w:t>Figure 3. Example chest X-rays loaded through the training pipeline with binary labels.</w:t>
      </w:r>
    </w:p>
    <w:p>
      <w:pPr>
        <w:jc w:val="both"/>
      </w:pPr>
      <w:r>
        <w:rPr>
          <w:rFonts w:ascii="Arial" w:hAnsi="Arial"/>
          <w:sz w:val="19"/>
        </w:rPr>
        <w:t>This visual check confirms that the PyTorch data pipeline correctly loads the chest X-rays and associates each image with its binary Normal or Abnormal label.</w:t>
      </w:r>
    </w:p>
    <w:p>
      <w:pPr>
        <w:pStyle w:val="Heading2"/>
      </w:pPr>
      <w:r>
        <w:t>4. Step 4: Unseen Disease Simulation</w:t>
      </w:r>
    </w:p>
    <w:p>
      <w:r>
        <w:t>To simulate a genuinely unseen disease, every training and validation image containing the selected held-out disease was removed, including multi-disease images. This is important because retaining an image such as Pneumonia + Effusion during training would still expose the model to Pneumonia. The original test images containing the held-out disease were retained as the unseen test set.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vAlign w:val="center"/>
            <w:shd w:fill="D9EAF7"/>
          </w:tcPr>
          <w:p>
            <w:r/>
            <w:r>
              <w:rPr>
                <w:rFonts w:ascii="Arial" w:hAnsi="Arial"/>
                <w:b/>
                <w:sz w:val="18"/>
              </w:rPr>
              <w:t>Held-out disease</w:t>
            </w:r>
          </w:p>
        </w:tc>
        <w:tc>
          <w:tcPr>
            <w:tcW w:type="dxa" w:w="2160"/>
            <w:vAlign w:val="center"/>
            <w:shd w:fill="D9EAF7"/>
          </w:tcPr>
          <w:p>
            <w:r/>
            <w:r>
              <w:rPr>
                <w:rFonts w:ascii="Arial" w:hAnsi="Arial"/>
                <w:b/>
                <w:sz w:val="18"/>
              </w:rPr>
              <w:t>Training images</w:t>
            </w:r>
          </w:p>
        </w:tc>
        <w:tc>
          <w:tcPr>
            <w:tcW w:type="dxa" w:w="2160"/>
            <w:vAlign w:val="center"/>
            <w:shd w:fill="D9EAF7"/>
          </w:tcPr>
          <w:p>
            <w:r/>
            <w:r>
              <w:rPr>
                <w:rFonts w:ascii="Arial" w:hAnsi="Arial"/>
                <w:b/>
                <w:sz w:val="18"/>
              </w:rPr>
              <w:t>Validation images</w:t>
            </w:r>
          </w:p>
        </w:tc>
        <w:tc>
          <w:tcPr>
            <w:tcW w:type="dxa" w:w="2160"/>
            <w:vAlign w:val="center"/>
            <w:shd w:fill="D9EAF7"/>
          </w:tcPr>
          <w:p>
            <w:r/>
            <w:r>
              <w:rPr>
                <w:rFonts w:ascii="Arial" w:hAnsi="Arial"/>
                <w:b/>
                <w:sz w:val="18"/>
              </w:rPr>
              <w:t>Unseen test images</w:t>
            </w:r>
          </w:p>
        </w:tc>
      </w:tr>
      <w:tr>
        <w:tc>
          <w:tcPr>
            <w:tcW w:type="dxa" w:w="2880"/>
            <w:vAlign w:val="center"/>
          </w:tcPr>
          <w:p>
            <w:r/>
            <w:r>
              <w:rPr>
                <w:rFonts w:ascii="Arial" w:hAnsi="Arial"/>
                <w:b w:val="0"/>
                <w:sz w:val="17"/>
              </w:rPr>
              <w:t>Atelectasis</w:t>
            </w:r>
          </w:p>
        </w:tc>
        <w:tc>
          <w:tcPr>
            <w:tcW w:type="dxa" w:w="2160"/>
            <w:vAlign w:val="center"/>
          </w:tcPr>
          <w:p>
            <w:r/>
            <w:r>
              <w:rPr>
                <w:rFonts w:ascii="Arial" w:hAnsi="Arial"/>
                <w:b w:val="0"/>
                <w:sz w:val="17"/>
              </w:rPr>
              <w:t>9,717</w:t>
            </w:r>
          </w:p>
        </w:tc>
        <w:tc>
          <w:tcPr>
            <w:tcW w:type="dxa" w:w="2160"/>
            <w:vAlign w:val="center"/>
          </w:tcPr>
          <w:p>
            <w:r/>
            <w:r>
              <w:rPr>
                <w:rFonts w:ascii="Arial" w:hAnsi="Arial"/>
                <w:b w:val="0"/>
                <w:sz w:val="17"/>
              </w:rPr>
              <w:t>1,971</w:t>
            </w:r>
          </w:p>
        </w:tc>
        <w:tc>
          <w:tcPr>
            <w:tcW w:type="dxa" w:w="2160"/>
            <w:vAlign w:val="center"/>
          </w:tcPr>
          <w:p>
            <w:r/>
            <w:r>
              <w:rPr>
                <w:rFonts w:ascii="Arial" w:hAnsi="Arial"/>
                <w:b w:val="0"/>
                <w:sz w:val="17"/>
              </w:rPr>
              <w:t>160</w:t>
            </w:r>
          </w:p>
        </w:tc>
      </w:tr>
      <w:tr>
        <w:tc>
          <w:tcPr>
            <w:tcW w:type="dxa" w:w="2880"/>
            <w:vAlign w:val="center"/>
          </w:tcPr>
          <w:p>
            <w:r/>
            <w:r>
              <w:rPr>
                <w:rFonts w:ascii="Arial" w:hAnsi="Arial"/>
                <w:b w:val="0"/>
                <w:sz w:val="17"/>
              </w:rPr>
              <w:t>Effusion</w:t>
            </w:r>
          </w:p>
        </w:tc>
        <w:tc>
          <w:tcPr>
            <w:tcW w:type="dxa" w:w="2160"/>
            <w:vAlign w:val="center"/>
          </w:tcPr>
          <w:p>
            <w:r/>
            <w:r>
              <w:rPr>
                <w:rFonts w:ascii="Arial" w:hAnsi="Arial"/>
                <w:b w:val="0"/>
                <w:sz w:val="17"/>
              </w:rPr>
              <w:t>9,715</w:t>
            </w:r>
          </w:p>
        </w:tc>
        <w:tc>
          <w:tcPr>
            <w:tcW w:type="dxa" w:w="2160"/>
            <w:vAlign w:val="center"/>
          </w:tcPr>
          <w:p>
            <w:r/>
            <w:r>
              <w:rPr>
                <w:rFonts w:ascii="Arial" w:hAnsi="Arial"/>
                <w:b w:val="0"/>
                <w:sz w:val="17"/>
              </w:rPr>
              <w:t>1,962</w:t>
            </w:r>
          </w:p>
        </w:tc>
        <w:tc>
          <w:tcPr>
            <w:tcW w:type="dxa" w:w="2160"/>
            <w:vAlign w:val="center"/>
          </w:tcPr>
          <w:p>
            <w:r/>
            <w:r>
              <w:rPr>
                <w:rFonts w:ascii="Arial" w:hAnsi="Arial"/>
                <w:b w:val="0"/>
                <w:sz w:val="17"/>
              </w:rPr>
              <w:t>181</w:t>
            </w:r>
          </w:p>
        </w:tc>
      </w:tr>
      <w:tr>
        <w:tc>
          <w:tcPr>
            <w:tcW w:type="dxa" w:w="2880"/>
            <w:vAlign w:val="center"/>
          </w:tcPr>
          <w:p>
            <w:r/>
            <w:r>
              <w:rPr>
                <w:rFonts w:ascii="Arial" w:hAnsi="Arial"/>
                <w:b w:val="0"/>
                <w:sz w:val="17"/>
              </w:rPr>
              <w:t>Pneumonia</w:t>
            </w:r>
          </w:p>
        </w:tc>
        <w:tc>
          <w:tcPr>
            <w:tcW w:type="dxa" w:w="2160"/>
            <w:vAlign w:val="center"/>
          </w:tcPr>
          <w:p>
            <w:r/>
            <w:r>
              <w:rPr>
                <w:rFonts w:ascii="Arial" w:hAnsi="Arial"/>
                <w:b w:val="0"/>
                <w:sz w:val="17"/>
              </w:rPr>
              <w:t>10,577</w:t>
            </w:r>
          </w:p>
        </w:tc>
        <w:tc>
          <w:tcPr>
            <w:tcW w:type="dxa" w:w="2160"/>
            <w:vAlign w:val="center"/>
          </w:tcPr>
          <w:p>
            <w:r/>
            <w:r>
              <w:rPr>
                <w:rFonts w:ascii="Arial" w:hAnsi="Arial"/>
                <w:b w:val="0"/>
                <w:sz w:val="17"/>
              </w:rPr>
              <w:t>2,150</w:t>
            </w:r>
          </w:p>
        </w:tc>
        <w:tc>
          <w:tcPr>
            <w:tcW w:type="dxa" w:w="2160"/>
            <w:vAlign w:val="center"/>
          </w:tcPr>
          <w:p>
            <w:r/>
            <w:r>
              <w:rPr>
                <w:rFonts w:ascii="Arial" w:hAnsi="Arial"/>
                <w:b w:val="0"/>
                <w:sz w:val="17"/>
              </w:rPr>
              <w:t>33</w:t>
            </w:r>
          </w:p>
        </w:tc>
      </w:tr>
      <w:tr>
        <w:tc>
          <w:tcPr>
            <w:tcW w:type="dxa" w:w="2880"/>
            <w:vAlign w:val="center"/>
          </w:tcPr>
          <w:p>
            <w:r/>
            <w:r>
              <w:rPr>
                <w:rFonts w:ascii="Arial" w:hAnsi="Arial"/>
                <w:b w:val="0"/>
                <w:sz w:val="17"/>
              </w:rPr>
              <w:t>Pneumothorax</w:t>
            </w:r>
          </w:p>
        </w:tc>
        <w:tc>
          <w:tcPr>
            <w:tcW w:type="dxa" w:w="2160"/>
            <w:vAlign w:val="center"/>
          </w:tcPr>
          <w:p>
            <w:r/>
            <w:r>
              <w:rPr>
                <w:rFonts w:ascii="Arial" w:hAnsi="Arial"/>
                <w:b w:val="0"/>
                <w:sz w:val="17"/>
              </w:rPr>
              <w:t>10,235</w:t>
            </w:r>
          </w:p>
        </w:tc>
        <w:tc>
          <w:tcPr>
            <w:tcW w:type="dxa" w:w="2160"/>
            <w:vAlign w:val="center"/>
          </w:tcPr>
          <w:p>
            <w:r/>
            <w:r>
              <w:rPr>
                <w:rFonts w:ascii="Arial" w:hAnsi="Arial"/>
                <w:b w:val="0"/>
                <w:sz w:val="17"/>
              </w:rPr>
              <w:t>2,090</w:t>
            </w:r>
          </w:p>
        </w:tc>
        <w:tc>
          <w:tcPr>
            <w:tcW w:type="dxa" w:w="2160"/>
            <w:vAlign w:val="center"/>
          </w:tcPr>
          <w:p>
            <w:r/>
            <w:r>
              <w:rPr>
                <w:rFonts w:ascii="Arial" w:hAnsi="Arial"/>
                <w:b w:val="0"/>
                <w:sz w:val="17"/>
              </w:rPr>
              <w:t>117</w:t>
            </w:r>
          </w:p>
        </w:tc>
      </w:tr>
    </w:tbl>
    <w:p/>
    <w:p>
      <w:r>
        <w:t>Validation checks confirmed that the held-out disease count was zero in each corresponding filtered training and validation dataset.</w:t>
      </w:r>
    </w:p>
    <w:p>
      <w:pPr>
        <w:pStyle w:val="Heading2"/>
      </w:pPr>
      <w:r>
        <w:t>5. Steps 5-6: Model Setup and Training Pipeline</w:t>
      </w:r>
    </w:p>
    <w:p>
      <w:pPr>
        <w:pStyle w:val="Heading3"/>
      </w:pPr>
      <w:r>
        <w:t>5.1 Step 5 - Model Setup</w:t>
      </w:r>
    </w:p>
    <w:p>
      <w:r>
        <w:t>ImageNet-pretrained DenseNet121 and ResNet50 models were configured for binary classification. The DenseNet121 classifier was replaced with a two-output linear layer using 1,024 input features, while the ResNet50 final fully connected layer was replaced with a two-output layer using 2,048 input features. Both models successfully produced an output tensor of shape [1, 2] during the architecture test.</w:t>
      </w:r>
    </w:p>
    <w:p>
      <w:pPr>
        <w:pStyle w:val="ListBullet"/>
      </w:pPr>
      <w:r>
        <w:t>Framework: PyTorch 2.8.0 + CUDA 12.9 build.</w:t>
      </w:r>
    </w:p>
    <w:p>
      <w:pPr>
        <w:pStyle w:val="ListBullet"/>
      </w:pPr>
      <w:r>
        <w:t>GPU: NVIDIA GeForce RTX 3050 6GB Laptop GPU.</w:t>
      </w:r>
    </w:p>
    <w:p>
      <w:pPr>
        <w:pStyle w:val="ListBullet"/>
      </w:pPr>
      <w:r>
        <w:t>DenseNet121 final output: 2 classes.</w:t>
      </w:r>
    </w:p>
    <w:p>
      <w:pPr>
        <w:pStyle w:val="ListBullet"/>
      </w:pPr>
      <w:r>
        <w:t>ResNet50 final output: 2 classes.</w:t>
      </w:r>
    </w:p>
    <w:p>
      <w:pPr>
        <w:pStyle w:val="Heading3"/>
      </w:pPr>
      <w:r>
        <w:t>5.2 Step 6 - Training Pipeline</w:t>
      </w:r>
    </w:p>
    <w:p>
      <w:r>
        <w:t>A PyTorch Dataset class, image transforms and DataLoaders were implemented. Images are loaded as RGB, resized to 224 x 224 pixels and normalised using ImageNet mean and standard deviation values. Random horizontal flipping is applied only to training images. Validation and test images are not augmented.</w:t>
      </w:r>
    </w:p>
    <w:p>
      <w:pPr>
        <w:pStyle w:val="ListBullet"/>
      </w:pPr>
      <w:r>
        <w:t>Batch size: 8.</w:t>
      </w:r>
    </w:p>
    <w:p>
      <w:pPr>
        <w:pStyle w:val="ListBullet"/>
      </w:pPr>
      <w:r>
        <w:t>Training DataLoader: shuffle enabled.</w:t>
      </w:r>
    </w:p>
    <w:p>
      <w:pPr>
        <w:pStyle w:val="ListBullet"/>
      </w:pPr>
      <w:r>
        <w:t>Validation/test DataLoaders: shuffle disabled.</w:t>
      </w:r>
    </w:p>
    <w:p>
      <w:pPr>
        <w:pStyle w:val="ListBullet"/>
      </w:pPr>
      <w:r>
        <w:t>Training batch shape verified as [8, 3, 224, 224].</w:t>
      </w:r>
    </w:p>
    <w:p>
      <w:pPr>
        <w:pStyle w:val="ListBullet"/>
      </w:pPr>
      <w:r>
        <w:t>A sample training visualisation confirmed that images and binary labels were being loaded correctly.</w:t>
      </w:r>
    </w:p>
    <w:p>
      <w:pPr>
        <w:pStyle w:val="Heading2"/>
      </w:pPr>
      <w:r>
        <w:t>6. Step 7: Baseline Model Training</w:t>
      </w:r>
    </w:p>
    <w:p>
      <w:r>
        <w:t>DenseNet121 and ResNet50 were trained as baseline binary classifiers using the original training and validation datasets, where all available diseases remained represented. Both models used the same settings for a fair comparison: 3 epochs, batch size 8, Adam optimiser, learning rate 0.0001 and CrossEntropyLoss. The best model checkpoint was selected using the lowest validation loss.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vAlign w:val="center"/>
            <w:shd w:fill="D9EAF7"/>
          </w:tcPr>
          <w:p>
            <w:r/>
            <w:r>
              <w:rPr>
                <w:rFonts w:ascii="Arial" w:hAnsi="Arial"/>
                <w:b/>
                <w:sz w:val="18"/>
              </w:rPr>
              <w:t>Model</w:t>
            </w:r>
          </w:p>
        </w:tc>
        <w:tc>
          <w:tcPr>
            <w:tcW w:type="dxa" w:w="2016"/>
            <w:vAlign w:val="center"/>
            <w:shd w:fill="D9EAF7"/>
          </w:tcPr>
          <w:p>
            <w:r/>
            <w:r>
              <w:rPr>
                <w:rFonts w:ascii="Arial" w:hAnsi="Arial"/>
                <w:b/>
                <w:sz w:val="18"/>
              </w:rPr>
              <w:t>Epoch 1 Val. Acc.</w:t>
            </w:r>
          </w:p>
        </w:tc>
        <w:tc>
          <w:tcPr>
            <w:tcW w:type="dxa" w:w="2016"/>
            <w:vAlign w:val="center"/>
            <w:shd w:fill="D9EAF7"/>
          </w:tcPr>
          <w:p>
            <w:r/>
            <w:r>
              <w:rPr>
                <w:rFonts w:ascii="Arial" w:hAnsi="Arial"/>
                <w:b/>
                <w:sz w:val="18"/>
              </w:rPr>
              <w:t>Epoch 2 Val. Acc.</w:t>
            </w:r>
          </w:p>
        </w:tc>
        <w:tc>
          <w:tcPr>
            <w:tcW w:type="dxa" w:w="2016"/>
            <w:vAlign w:val="center"/>
            <w:shd w:fill="D9EAF7"/>
          </w:tcPr>
          <w:p>
            <w:r/>
            <w:r>
              <w:rPr>
                <w:rFonts w:ascii="Arial" w:hAnsi="Arial"/>
                <w:b/>
                <w:sz w:val="18"/>
              </w:rPr>
              <w:t>Epoch 3 Val. Acc.</w:t>
            </w:r>
          </w:p>
        </w:tc>
        <w:tc>
          <w:tcPr>
            <w:tcW w:type="dxa" w:w="2160"/>
            <w:vAlign w:val="center"/>
            <w:shd w:fill="D9EAF7"/>
          </w:tcPr>
          <w:p>
            <w:r/>
            <w:r>
              <w:rPr>
                <w:rFonts w:ascii="Arial" w:hAnsi="Arial"/>
                <w:b/>
                <w:sz w:val="18"/>
              </w:rPr>
              <w:t>Best observed Val. Acc.</w:t>
            </w:r>
          </w:p>
        </w:tc>
      </w:tr>
      <w:tr>
        <w:tc>
          <w:tcPr>
            <w:tcW w:type="dxa" w:w="2016"/>
            <w:vAlign w:val="center"/>
          </w:tcPr>
          <w:p>
            <w:r/>
            <w:r>
              <w:rPr>
                <w:rFonts w:ascii="Arial" w:hAnsi="Arial"/>
                <w:b w:val="0"/>
                <w:sz w:val="17"/>
              </w:rPr>
              <w:t>DenseNet121</w:t>
            </w:r>
          </w:p>
        </w:tc>
        <w:tc>
          <w:tcPr>
            <w:tcW w:type="dxa" w:w="2016"/>
            <w:vAlign w:val="center"/>
          </w:tcPr>
          <w:p>
            <w:r/>
            <w:r>
              <w:rPr>
                <w:rFonts w:ascii="Arial" w:hAnsi="Arial"/>
                <w:b w:val="0"/>
                <w:sz w:val="17"/>
              </w:rPr>
              <w:t>66.36%</w:t>
            </w:r>
          </w:p>
        </w:tc>
        <w:tc>
          <w:tcPr>
            <w:tcW w:type="dxa" w:w="2016"/>
            <w:vAlign w:val="center"/>
          </w:tcPr>
          <w:p>
            <w:r/>
            <w:r>
              <w:rPr>
                <w:rFonts w:ascii="Arial" w:hAnsi="Arial"/>
                <w:b w:val="0"/>
                <w:sz w:val="17"/>
              </w:rPr>
              <w:t>64.80%</w:t>
            </w:r>
          </w:p>
        </w:tc>
        <w:tc>
          <w:tcPr>
            <w:tcW w:type="dxa" w:w="2016"/>
            <w:vAlign w:val="center"/>
          </w:tcPr>
          <w:p>
            <w:r/>
            <w:r>
              <w:rPr>
                <w:rFonts w:ascii="Arial" w:hAnsi="Arial"/>
                <w:b w:val="0"/>
                <w:sz w:val="17"/>
              </w:rPr>
              <w:t>69.44%</w:t>
            </w:r>
          </w:p>
        </w:tc>
        <w:tc>
          <w:tcPr>
            <w:tcW w:type="dxa" w:w="2160"/>
            <w:vAlign w:val="center"/>
          </w:tcPr>
          <w:p>
            <w:r/>
            <w:r>
              <w:rPr>
                <w:rFonts w:ascii="Arial" w:hAnsi="Arial"/>
                <w:b w:val="0"/>
                <w:sz w:val="17"/>
              </w:rPr>
              <w:t>69.44%</w:t>
            </w:r>
          </w:p>
        </w:tc>
      </w:tr>
      <w:tr>
        <w:tc>
          <w:tcPr>
            <w:tcW w:type="dxa" w:w="2016"/>
            <w:vAlign w:val="center"/>
          </w:tcPr>
          <w:p>
            <w:r/>
            <w:r>
              <w:rPr>
                <w:rFonts w:ascii="Arial" w:hAnsi="Arial"/>
                <w:b w:val="0"/>
                <w:sz w:val="17"/>
              </w:rPr>
              <w:t>ResNet50</w:t>
            </w:r>
          </w:p>
        </w:tc>
        <w:tc>
          <w:tcPr>
            <w:tcW w:type="dxa" w:w="2016"/>
            <w:vAlign w:val="center"/>
          </w:tcPr>
          <w:p>
            <w:r/>
            <w:r>
              <w:rPr>
                <w:rFonts w:ascii="Arial" w:hAnsi="Arial"/>
                <w:b w:val="0"/>
                <w:sz w:val="17"/>
              </w:rPr>
              <w:t>68.70%</w:t>
            </w:r>
          </w:p>
        </w:tc>
        <w:tc>
          <w:tcPr>
            <w:tcW w:type="dxa" w:w="2016"/>
            <w:vAlign w:val="center"/>
          </w:tcPr>
          <w:p>
            <w:r/>
            <w:r>
              <w:rPr>
                <w:rFonts w:ascii="Arial" w:hAnsi="Arial"/>
                <w:b w:val="0"/>
                <w:sz w:val="17"/>
              </w:rPr>
              <w:t>67.92%</w:t>
            </w:r>
          </w:p>
        </w:tc>
        <w:tc>
          <w:tcPr>
            <w:tcW w:type="dxa" w:w="2016"/>
            <w:vAlign w:val="center"/>
          </w:tcPr>
          <w:p>
            <w:r/>
            <w:r>
              <w:rPr>
                <w:rFonts w:ascii="Arial" w:hAnsi="Arial"/>
                <w:b w:val="0"/>
                <w:sz w:val="17"/>
              </w:rPr>
              <w:t>67.92%</w:t>
            </w:r>
          </w:p>
        </w:tc>
        <w:tc>
          <w:tcPr>
            <w:tcW w:type="dxa" w:w="2160"/>
            <w:vAlign w:val="center"/>
          </w:tcPr>
          <w:p>
            <w:r/>
            <w:r>
              <w:rPr>
                <w:rFonts w:ascii="Arial" w:hAnsi="Arial"/>
                <w:b w:val="0"/>
                <w:sz w:val="17"/>
              </w:rPr>
              <w:t>68.70%</w:t>
            </w:r>
          </w:p>
        </w:tc>
      </w:tr>
    </w:tbl>
    <w:p/>
    <w:p>
      <w:r>
        <w:t>DenseNet121 reached the higher observed validation accuracy, while ResNet50 reached a higher final training accuracy. These baseline models provide the reference models trained with all diseases available.</w:t>
      </w:r>
    </w:p>
    <w:p>
      <w:pPr>
        <w:jc w:val="center"/>
      </w:pPr>
      <w:r>
        <w:drawing>
          <wp:inline xmlns:a="http://schemas.openxmlformats.org/drawingml/2006/main" xmlns:pic="http://schemas.openxmlformats.org/drawingml/2006/picture">
            <wp:extent cx="5806440" cy="3918456"/>
            <wp:docPr id="4" name="Picture 4"/>
            <wp:cNvGraphicFramePr>
              <a:graphicFrameLocks noChangeAspect="1"/>
            </wp:cNvGraphicFramePr>
            <a:graphic>
              <a:graphicData uri="http://schemas.openxmlformats.org/drawingml/2006/picture">
                <pic:pic>
                  <pic:nvPicPr>
                    <pic:cNvPr id="0" name="4d1607da-cc34-44f4-a50a-9bdd49b7c4e7.png"/>
                    <pic:cNvPicPr/>
                  </pic:nvPicPr>
                  <pic:blipFill>
                    <a:blip r:embed="rId13"/>
                    <a:stretch>
                      <a:fillRect/>
                    </a:stretch>
                  </pic:blipFill>
                  <pic:spPr>
                    <a:xfrm>
                      <a:off x="0" y="0"/>
                      <a:ext cx="5806440" cy="3918456"/>
                    </a:xfrm>
                    <a:prstGeom prst="rect"/>
                  </pic:spPr>
                </pic:pic>
              </a:graphicData>
            </a:graphic>
          </wp:inline>
        </w:drawing>
      </w:r>
    </w:p>
    <w:p>
      <w:pPr>
        <w:jc w:val="center"/>
      </w:pPr>
      <w:r>
        <w:rPr>
          <w:rFonts w:ascii="Arial" w:hAnsi="Arial"/>
          <w:b/>
          <w:sz w:val="18"/>
        </w:rPr>
        <w:t>Figure 4. DenseNet121 baseline training and validation loss over three epochs.</w:t>
      </w:r>
    </w:p>
    <w:p>
      <w:pPr>
        <w:jc w:val="both"/>
      </w:pPr>
      <w:r>
        <w:rPr>
          <w:rFonts w:ascii="Arial" w:hAnsi="Arial"/>
          <w:sz w:val="19"/>
        </w:rPr>
        <w:t>DenseNet121 training loss decreased across the three epochs. Validation loss increased slightly in epoch 2 before decreasing to its lowest value in epoch 3, which was retained as the best checkpoint.</w:t>
      </w:r>
    </w:p>
    <w:p>
      <w:pPr>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18ef286b-3a8d-4117-9c24-72c55d9beb55.png"/>
                    <pic:cNvPicPr/>
                  </pic:nvPicPr>
                  <pic:blipFill>
                    <a:blip r:embed="rId14"/>
                    <a:stretch>
                      <a:fillRect/>
                    </a:stretch>
                  </pic:blipFill>
                  <pic:spPr>
                    <a:xfrm>
                      <a:off x="0" y="0"/>
                      <a:ext cx="5806440" cy="3870960"/>
                    </a:xfrm>
                    <a:prstGeom prst="rect"/>
                  </pic:spPr>
                </pic:pic>
              </a:graphicData>
            </a:graphic>
          </wp:inline>
        </w:drawing>
      </w:r>
    </w:p>
    <w:p>
      <w:pPr>
        <w:jc w:val="center"/>
      </w:pPr>
      <w:r>
        <w:rPr>
          <w:rFonts w:ascii="Arial" w:hAnsi="Arial"/>
          <w:b/>
          <w:sz w:val="18"/>
        </w:rPr>
        <w:t>Figure 5. DenseNet121 baseline training and validation accuracy over three epochs.</w:t>
      </w:r>
    </w:p>
    <w:p>
      <w:pPr>
        <w:jc w:val="both"/>
      </w:pPr>
      <w:r>
        <w:rPr>
          <w:rFonts w:ascii="Arial" w:hAnsi="Arial"/>
          <w:sz w:val="19"/>
        </w:rPr>
        <w:t>DenseNet121 training accuracy improved across all three epochs. Validation accuracy varied during training and reached its highest value in epoch 3 at approximately 69.44%.</w:t>
      </w:r>
    </w:p>
    <w:p>
      <w:pPr>
        <w:jc w:val="center"/>
      </w:pPr>
      <w:r>
        <w:drawing>
          <wp:inline xmlns:a="http://schemas.openxmlformats.org/drawingml/2006/main" xmlns:pic="http://schemas.openxmlformats.org/drawingml/2006/picture">
            <wp:extent cx="5806440" cy="3841320"/>
            <wp:docPr id="6" name="Picture 6"/>
            <wp:cNvGraphicFramePr>
              <a:graphicFrameLocks noChangeAspect="1"/>
            </wp:cNvGraphicFramePr>
            <a:graphic>
              <a:graphicData uri="http://schemas.openxmlformats.org/drawingml/2006/picture">
                <pic:pic>
                  <pic:nvPicPr>
                    <pic:cNvPr id="0" name="670a450f-a887-40d3-8580-5b2a413b88d7.png"/>
                    <pic:cNvPicPr/>
                  </pic:nvPicPr>
                  <pic:blipFill>
                    <a:blip r:embed="rId15"/>
                    <a:stretch>
                      <a:fillRect/>
                    </a:stretch>
                  </pic:blipFill>
                  <pic:spPr>
                    <a:xfrm>
                      <a:off x="0" y="0"/>
                      <a:ext cx="5806440" cy="3841320"/>
                    </a:xfrm>
                    <a:prstGeom prst="rect"/>
                  </pic:spPr>
                </pic:pic>
              </a:graphicData>
            </a:graphic>
          </wp:inline>
        </w:drawing>
      </w:r>
    </w:p>
    <w:p>
      <w:pPr>
        <w:jc w:val="center"/>
      </w:pPr>
      <w:r>
        <w:rPr>
          <w:rFonts w:ascii="Arial" w:hAnsi="Arial"/>
          <w:b/>
          <w:sz w:val="18"/>
        </w:rPr>
        <w:t>Figure 6. ResNet50 baseline training and validation loss over three epochs.</w:t>
      </w:r>
    </w:p>
    <w:p>
      <w:pPr>
        <w:jc w:val="both"/>
      </w:pPr>
      <w:r>
        <w:rPr>
          <w:rFonts w:ascii="Arial" w:hAnsi="Arial"/>
          <w:sz w:val="19"/>
        </w:rPr>
        <w:t>ResNet50 training loss decreased consistently. Validation loss reached its lowest value in epoch 2 and then increased slightly in epoch 3, so the epoch 2 checkpoint was retained according to the validation-loss selection rule.</w:t>
      </w:r>
    </w:p>
    <w:p>
      <w:pPr>
        <w:jc w:val="center"/>
      </w:pPr>
      <w:r>
        <w:drawing>
          <wp:inline xmlns:a="http://schemas.openxmlformats.org/drawingml/2006/main" xmlns:pic="http://schemas.openxmlformats.org/drawingml/2006/picture">
            <wp:extent cx="5806440" cy="3868010"/>
            <wp:docPr id="7" name="Picture 7"/>
            <wp:cNvGraphicFramePr>
              <a:graphicFrameLocks noChangeAspect="1"/>
            </wp:cNvGraphicFramePr>
            <a:graphic>
              <a:graphicData uri="http://schemas.openxmlformats.org/drawingml/2006/picture">
                <pic:pic>
                  <pic:nvPicPr>
                    <pic:cNvPr id="0" name="a54cab2e-708c-4cf3-9043-ee909dd43d03.png"/>
                    <pic:cNvPicPr/>
                  </pic:nvPicPr>
                  <pic:blipFill>
                    <a:blip r:embed="rId16"/>
                    <a:stretch>
                      <a:fillRect/>
                    </a:stretch>
                  </pic:blipFill>
                  <pic:spPr>
                    <a:xfrm>
                      <a:off x="0" y="0"/>
                      <a:ext cx="5806440" cy="3868010"/>
                    </a:xfrm>
                    <a:prstGeom prst="rect"/>
                  </pic:spPr>
                </pic:pic>
              </a:graphicData>
            </a:graphic>
          </wp:inline>
        </w:drawing>
      </w:r>
    </w:p>
    <w:p>
      <w:pPr>
        <w:jc w:val="center"/>
      </w:pPr>
      <w:r>
        <w:rPr>
          <w:rFonts w:ascii="Arial" w:hAnsi="Arial"/>
          <w:b/>
          <w:sz w:val="18"/>
        </w:rPr>
        <w:t>Figure 7. ResNet50 baseline training and validation accuracy over three epochs.</w:t>
      </w:r>
    </w:p>
    <w:p>
      <w:pPr>
        <w:jc w:val="both"/>
      </w:pPr>
      <w:r>
        <w:rPr>
          <w:rFonts w:ascii="Arial" w:hAnsi="Arial"/>
          <w:sz w:val="19"/>
        </w:rPr>
        <w:t>ResNet50 training accuracy increased steadily, while validation accuracy was highest in epoch 1 and remained close to 68% in epochs 2 and 3. Checkpoint selection was based on validation loss rather than validation accuracy.</w:t>
      </w:r>
    </w:p>
    <w:p>
      <w:pPr>
        <w:pStyle w:val="Heading2"/>
      </w:pPr>
      <w:r>
        <w:t>7. Step 8: Unseen Disease Training</w:t>
      </w:r>
    </w:p>
    <w:p>
      <w:r>
        <w:t>For each selected held-out disease, DenseNet121 and ResNet50 were retrained using the corresponding filtered training and validation datasets created in Step 4. The same training settings used for the baseline models were retained to keep the experiments comparable.</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D9EAF7"/>
          </w:tcPr>
          <w:p>
            <w:r/>
            <w:r>
              <w:rPr>
                <w:rFonts w:ascii="Arial" w:hAnsi="Arial"/>
                <w:b/>
                <w:sz w:val="18"/>
              </w:rPr>
              <w:t>Held-out disease</w:t>
            </w:r>
          </w:p>
        </w:tc>
        <w:tc>
          <w:tcPr>
            <w:tcW w:type="dxa" w:w="3312"/>
            <w:vAlign w:val="center"/>
            <w:shd w:fill="D9EAF7"/>
          </w:tcPr>
          <w:p>
            <w:r/>
            <w:r>
              <w:rPr>
                <w:rFonts w:ascii="Arial" w:hAnsi="Arial"/>
                <w:b/>
                <w:sz w:val="18"/>
              </w:rPr>
              <w:t>DenseNet121 best observed Val. Acc.</w:t>
            </w:r>
          </w:p>
        </w:tc>
        <w:tc>
          <w:tcPr>
            <w:tcW w:type="dxa" w:w="3312"/>
            <w:vAlign w:val="center"/>
            <w:shd w:fill="D9EAF7"/>
          </w:tcPr>
          <w:p>
            <w:r/>
            <w:r>
              <w:rPr>
                <w:rFonts w:ascii="Arial" w:hAnsi="Arial"/>
                <w:b/>
                <w:sz w:val="18"/>
              </w:rPr>
              <w:t>ResNet50 best observed Val. Acc.</w:t>
            </w:r>
          </w:p>
        </w:tc>
      </w:tr>
      <w:tr>
        <w:tc>
          <w:tcPr>
            <w:tcW w:type="dxa" w:w="3024"/>
            <w:vAlign w:val="center"/>
          </w:tcPr>
          <w:p>
            <w:r/>
            <w:r>
              <w:rPr>
                <w:rFonts w:ascii="Arial" w:hAnsi="Arial"/>
                <w:b w:val="0"/>
                <w:sz w:val="17"/>
              </w:rPr>
              <w:t>Atelectasis</w:t>
            </w:r>
          </w:p>
        </w:tc>
        <w:tc>
          <w:tcPr>
            <w:tcW w:type="dxa" w:w="3312"/>
            <w:vAlign w:val="center"/>
          </w:tcPr>
          <w:p>
            <w:r/>
            <w:r>
              <w:rPr>
                <w:rFonts w:ascii="Arial" w:hAnsi="Arial"/>
                <w:b w:val="0"/>
                <w:sz w:val="17"/>
              </w:rPr>
              <w:t>69.51%</w:t>
            </w:r>
          </w:p>
        </w:tc>
        <w:tc>
          <w:tcPr>
            <w:tcW w:type="dxa" w:w="3312"/>
            <w:vAlign w:val="center"/>
          </w:tcPr>
          <w:p>
            <w:r/>
            <w:r>
              <w:rPr>
                <w:rFonts w:ascii="Arial" w:hAnsi="Arial"/>
                <w:b w:val="0"/>
                <w:sz w:val="17"/>
              </w:rPr>
              <w:t>71.44%</w:t>
            </w:r>
          </w:p>
        </w:tc>
      </w:tr>
      <w:tr>
        <w:tc>
          <w:tcPr>
            <w:tcW w:type="dxa" w:w="3024"/>
            <w:vAlign w:val="center"/>
          </w:tcPr>
          <w:p>
            <w:r/>
            <w:r>
              <w:rPr>
                <w:rFonts w:ascii="Arial" w:hAnsi="Arial"/>
                <w:b w:val="0"/>
                <w:sz w:val="17"/>
              </w:rPr>
              <w:t>Effusion</w:t>
            </w:r>
          </w:p>
        </w:tc>
        <w:tc>
          <w:tcPr>
            <w:tcW w:type="dxa" w:w="3312"/>
            <w:vAlign w:val="center"/>
          </w:tcPr>
          <w:p>
            <w:r/>
            <w:r>
              <w:rPr>
                <w:rFonts w:ascii="Arial" w:hAnsi="Arial"/>
                <w:b w:val="0"/>
                <w:sz w:val="17"/>
              </w:rPr>
              <w:t>67.79%</w:t>
            </w:r>
          </w:p>
        </w:tc>
        <w:tc>
          <w:tcPr>
            <w:tcW w:type="dxa" w:w="3312"/>
            <w:vAlign w:val="center"/>
          </w:tcPr>
          <w:p>
            <w:r/>
            <w:r>
              <w:rPr>
                <w:rFonts w:ascii="Arial" w:hAnsi="Arial"/>
                <w:b w:val="0"/>
                <w:sz w:val="17"/>
              </w:rPr>
              <w:t>67.69%</w:t>
            </w:r>
          </w:p>
        </w:tc>
      </w:tr>
      <w:tr>
        <w:tc>
          <w:tcPr>
            <w:tcW w:type="dxa" w:w="3024"/>
            <w:vAlign w:val="center"/>
          </w:tcPr>
          <w:p>
            <w:r/>
            <w:r>
              <w:rPr>
                <w:rFonts w:ascii="Arial" w:hAnsi="Arial"/>
                <w:b w:val="0"/>
                <w:sz w:val="17"/>
              </w:rPr>
              <w:t>Pneumonia</w:t>
            </w:r>
          </w:p>
        </w:tc>
        <w:tc>
          <w:tcPr>
            <w:tcW w:type="dxa" w:w="3312"/>
            <w:vAlign w:val="center"/>
          </w:tcPr>
          <w:p>
            <w:r/>
            <w:r>
              <w:rPr>
                <w:rFonts w:ascii="Arial" w:hAnsi="Arial"/>
                <w:b w:val="0"/>
                <w:sz w:val="17"/>
              </w:rPr>
              <w:t>67.67%</w:t>
            </w:r>
          </w:p>
        </w:tc>
        <w:tc>
          <w:tcPr>
            <w:tcW w:type="dxa" w:w="3312"/>
            <w:vAlign w:val="center"/>
          </w:tcPr>
          <w:p>
            <w:r/>
            <w:r>
              <w:rPr>
                <w:rFonts w:ascii="Arial" w:hAnsi="Arial"/>
                <w:b w:val="0"/>
                <w:sz w:val="17"/>
              </w:rPr>
              <w:t>68.47%</w:t>
            </w:r>
          </w:p>
        </w:tc>
      </w:tr>
      <w:tr>
        <w:tc>
          <w:tcPr>
            <w:tcW w:type="dxa" w:w="3024"/>
            <w:vAlign w:val="center"/>
          </w:tcPr>
          <w:p>
            <w:r/>
            <w:r>
              <w:rPr>
                <w:rFonts w:ascii="Arial" w:hAnsi="Arial"/>
                <w:b w:val="0"/>
                <w:sz w:val="17"/>
              </w:rPr>
              <w:t>Pneumothorax</w:t>
            </w:r>
          </w:p>
        </w:tc>
        <w:tc>
          <w:tcPr>
            <w:tcW w:type="dxa" w:w="3312"/>
            <w:vAlign w:val="center"/>
          </w:tcPr>
          <w:p>
            <w:r/>
            <w:r>
              <w:rPr>
                <w:rFonts w:ascii="Arial" w:hAnsi="Arial"/>
                <w:b w:val="0"/>
                <w:sz w:val="17"/>
              </w:rPr>
              <w:t>68.33%</w:t>
            </w:r>
          </w:p>
        </w:tc>
        <w:tc>
          <w:tcPr>
            <w:tcW w:type="dxa" w:w="3312"/>
            <w:vAlign w:val="center"/>
          </w:tcPr>
          <w:p>
            <w:r/>
            <w:r>
              <w:rPr>
                <w:rFonts w:ascii="Arial" w:hAnsi="Arial"/>
                <w:b w:val="0"/>
                <w:sz w:val="17"/>
              </w:rPr>
              <w:t>68.90%</w:t>
            </w:r>
          </w:p>
        </w:tc>
      </w:tr>
    </w:tbl>
    <w:p/>
    <w:p>
      <w:r>
        <w:t>Eight unseen-disease binary models were therefore produced: two architectures for each of the four held-out diseases.</w:t>
      </w:r>
    </w:p>
    <w:p>
      <w:pPr>
        <w:pStyle w:val="Heading2"/>
      </w:pPr>
      <w:r>
        <w:t>8. Step 9: Experimental Testing</w:t>
      </w:r>
    </w:p>
    <w:p>
      <w:r>
        <w:t>Each Step 8 binary model was tested on the corresponding unseen_test.csv. Every image in these test sets contains the held-out disease and is therefore considered abnormal for this experiment. The main Step 9 measure was the unseen disease detection rate: the percentage of unseen-disease images predicted as Abnormal.</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160"/>
            <w:vAlign w:val="center"/>
            <w:shd w:fill="D9EAF7"/>
          </w:tcPr>
          <w:p>
            <w:r/>
            <w:r>
              <w:rPr>
                <w:rFonts w:ascii="Arial" w:hAnsi="Arial"/>
                <w:b/>
                <w:sz w:val="18"/>
              </w:rPr>
              <w:t>Disease</w:t>
            </w:r>
          </w:p>
        </w:tc>
        <w:tc>
          <w:tcPr>
            <w:tcW w:type="dxa" w:w="1872"/>
            <w:vAlign w:val="center"/>
            <w:shd w:fill="D9EAF7"/>
          </w:tcPr>
          <w:p>
            <w:r/>
            <w:r>
              <w:rPr>
                <w:rFonts w:ascii="Arial" w:hAnsi="Arial"/>
                <w:b/>
                <w:sz w:val="18"/>
              </w:rPr>
              <w:t>Model</w:t>
            </w:r>
          </w:p>
        </w:tc>
        <w:tc>
          <w:tcPr>
            <w:tcW w:type="dxa" w:w="1296"/>
            <w:vAlign w:val="center"/>
            <w:shd w:fill="D9EAF7"/>
          </w:tcPr>
          <w:p>
            <w:r/>
            <w:r>
              <w:rPr>
                <w:rFonts w:ascii="Arial" w:hAnsi="Arial"/>
                <w:b/>
                <w:sz w:val="18"/>
              </w:rPr>
              <w:t>Test images</w:t>
            </w:r>
          </w:p>
        </w:tc>
        <w:tc>
          <w:tcPr>
            <w:tcW w:type="dxa" w:w="1728"/>
            <w:vAlign w:val="center"/>
            <w:shd w:fill="D9EAF7"/>
          </w:tcPr>
          <w:p>
            <w:r/>
            <w:r>
              <w:rPr>
                <w:rFonts w:ascii="Arial" w:hAnsi="Arial"/>
                <w:b/>
                <w:sz w:val="18"/>
              </w:rPr>
              <w:t>Predicted abnormal</w:t>
            </w:r>
          </w:p>
        </w:tc>
        <w:tc>
          <w:tcPr>
            <w:tcW w:type="dxa" w:w="1584"/>
            <w:vAlign w:val="center"/>
            <w:shd w:fill="D9EAF7"/>
          </w:tcPr>
          <w:p>
            <w:r/>
            <w:r>
              <w:rPr>
                <w:rFonts w:ascii="Arial" w:hAnsi="Arial"/>
                <w:b/>
                <w:sz w:val="18"/>
              </w:rPr>
              <w:t>Predicted normal</w:t>
            </w:r>
          </w:p>
        </w:tc>
        <w:tc>
          <w:tcPr>
            <w:tcW w:type="dxa" w:w="1584"/>
            <w:vAlign w:val="center"/>
            <w:shd w:fill="D9EAF7"/>
          </w:tcPr>
          <w:p>
            <w:r/>
            <w:r>
              <w:rPr>
                <w:rFonts w:ascii="Arial" w:hAnsi="Arial"/>
                <w:b/>
                <w:sz w:val="18"/>
              </w:rPr>
              <w:t>Detection rate</w:t>
            </w:r>
          </w:p>
        </w:tc>
      </w:tr>
      <w:tr>
        <w:tc>
          <w:tcPr>
            <w:tcW w:type="dxa" w:w="2160"/>
            <w:vAlign w:val="center"/>
          </w:tcPr>
          <w:p>
            <w:r/>
            <w:r>
              <w:rPr>
                <w:rFonts w:ascii="Arial" w:hAnsi="Arial"/>
                <w:b w:val="0"/>
                <w:sz w:val="17"/>
              </w:rPr>
              <w:t>Atelectasis</w:t>
            </w:r>
          </w:p>
        </w:tc>
        <w:tc>
          <w:tcPr>
            <w:tcW w:type="dxa" w:w="1872"/>
            <w:vAlign w:val="center"/>
          </w:tcPr>
          <w:p>
            <w:r/>
            <w:r>
              <w:rPr>
                <w:rFonts w:ascii="Arial" w:hAnsi="Arial"/>
                <w:b w:val="0"/>
                <w:sz w:val="17"/>
              </w:rPr>
              <w:t>DenseNet121</w:t>
            </w:r>
          </w:p>
        </w:tc>
        <w:tc>
          <w:tcPr>
            <w:tcW w:type="dxa" w:w="1296"/>
            <w:vAlign w:val="center"/>
          </w:tcPr>
          <w:p>
            <w:r/>
            <w:r>
              <w:rPr>
                <w:rFonts w:ascii="Arial" w:hAnsi="Arial"/>
                <w:b w:val="0"/>
                <w:sz w:val="17"/>
              </w:rPr>
              <w:t>160</w:t>
            </w:r>
          </w:p>
        </w:tc>
        <w:tc>
          <w:tcPr>
            <w:tcW w:type="dxa" w:w="1728"/>
            <w:vAlign w:val="center"/>
          </w:tcPr>
          <w:p>
            <w:r/>
            <w:r>
              <w:rPr>
                <w:rFonts w:ascii="Arial" w:hAnsi="Arial"/>
                <w:b w:val="0"/>
                <w:sz w:val="17"/>
              </w:rPr>
              <w:t>68</w:t>
            </w:r>
          </w:p>
        </w:tc>
        <w:tc>
          <w:tcPr>
            <w:tcW w:type="dxa" w:w="1584"/>
            <w:vAlign w:val="center"/>
          </w:tcPr>
          <w:p>
            <w:r/>
            <w:r>
              <w:rPr>
                <w:rFonts w:ascii="Arial" w:hAnsi="Arial"/>
                <w:b w:val="0"/>
                <w:sz w:val="17"/>
              </w:rPr>
              <w:t>92</w:t>
            </w:r>
          </w:p>
        </w:tc>
        <w:tc>
          <w:tcPr>
            <w:tcW w:type="dxa" w:w="1584"/>
            <w:vAlign w:val="center"/>
          </w:tcPr>
          <w:p>
            <w:r/>
            <w:r>
              <w:rPr>
                <w:rFonts w:ascii="Arial" w:hAnsi="Arial"/>
                <w:b w:val="0"/>
                <w:sz w:val="17"/>
              </w:rPr>
              <w:t>42.50%</w:t>
            </w:r>
          </w:p>
        </w:tc>
      </w:tr>
      <w:tr>
        <w:tc>
          <w:tcPr>
            <w:tcW w:type="dxa" w:w="2160"/>
            <w:vAlign w:val="center"/>
          </w:tcPr>
          <w:p>
            <w:r/>
            <w:r>
              <w:rPr>
                <w:rFonts w:ascii="Arial" w:hAnsi="Arial"/>
                <w:b w:val="0"/>
                <w:sz w:val="17"/>
              </w:rPr>
              <w:t>Atelectasis</w:t>
            </w:r>
          </w:p>
        </w:tc>
        <w:tc>
          <w:tcPr>
            <w:tcW w:type="dxa" w:w="1872"/>
            <w:vAlign w:val="center"/>
          </w:tcPr>
          <w:p>
            <w:r/>
            <w:r>
              <w:rPr>
                <w:rFonts w:ascii="Arial" w:hAnsi="Arial"/>
                <w:b w:val="0"/>
                <w:sz w:val="17"/>
              </w:rPr>
              <w:t>ResNet50</w:t>
            </w:r>
          </w:p>
        </w:tc>
        <w:tc>
          <w:tcPr>
            <w:tcW w:type="dxa" w:w="1296"/>
            <w:vAlign w:val="center"/>
          </w:tcPr>
          <w:p>
            <w:r/>
            <w:r>
              <w:rPr>
                <w:rFonts w:ascii="Arial" w:hAnsi="Arial"/>
                <w:b w:val="0"/>
                <w:sz w:val="17"/>
              </w:rPr>
              <w:t>160</w:t>
            </w:r>
          </w:p>
        </w:tc>
        <w:tc>
          <w:tcPr>
            <w:tcW w:type="dxa" w:w="1728"/>
            <w:vAlign w:val="center"/>
          </w:tcPr>
          <w:p>
            <w:r/>
            <w:r>
              <w:rPr>
                <w:rFonts w:ascii="Arial" w:hAnsi="Arial"/>
                <w:b w:val="0"/>
                <w:sz w:val="17"/>
              </w:rPr>
              <w:t>50</w:t>
            </w:r>
          </w:p>
        </w:tc>
        <w:tc>
          <w:tcPr>
            <w:tcW w:type="dxa" w:w="1584"/>
            <w:vAlign w:val="center"/>
          </w:tcPr>
          <w:p>
            <w:r/>
            <w:r>
              <w:rPr>
                <w:rFonts w:ascii="Arial" w:hAnsi="Arial"/>
                <w:b w:val="0"/>
                <w:sz w:val="17"/>
              </w:rPr>
              <w:t>110</w:t>
            </w:r>
          </w:p>
        </w:tc>
        <w:tc>
          <w:tcPr>
            <w:tcW w:type="dxa" w:w="1584"/>
            <w:vAlign w:val="center"/>
          </w:tcPr>
          <w:p>
            <w:r/>
            <w:r>
              <w:rPr>
                <w:rFonts w:ascii="Arial" w:hAnsi="Arial"/>
                <w:b w:val="0"/>
                <w:sz w:val="17"/>
              </w:rPr>
              <w:t>31.25%</w:t>
            </w:r>
          </w:p>
        </w:tc>
      </w:tr>
      <w:tr>
        <w:tc>
          <w:tcPr>
            <w:tcW w:type="dxa" w:w="2160"/>
            <w:vAlign w:val="center"/>
          </w:tcPr>
          <w:p>
            <w:r/>
            <w:r>
              <w:rPr>
                <w:rFonts w:ascii="Arial" w:hAnsi="Arial"/>
                <w:b w:val="0"/>
                <w:sz w:val="17"/>
              </w:rPr>
              <w:t>Effusion</w:t>
            </w:r>
          </w:p>
        </w:tc>
        <w:tc>
          <w:tcPr>
            <w:tcW w:type="dxa" w:w="1872"/>
            <w:vAlign w:val="center"/>
          </w:tcPr>
          <w:p>
            <w:r/>
            <w:r>
              <w:rPr>
                <w:rFonts w:ascii="Arial" w:hAnsi="Arial"/>
                <w:b w:val="0"/>
                <w:sz w:val="17"/>
              </w:rPr>
              <w:t>DenseNet121</w:t>
            </w:r>
          </w:p>
        </w:tc>
        <w:tc>
          <w:tcPr>
            <w:tcW w:type="dxa" w:w="1296"/>
            <w:vAlign w:val="center"/>
          </w:tcPr>
          <w:p>
            <w:r/>
            <w:r>
              <w:rPr>
                <w:rFonts w:ascii="Arial" w:hAnsi="Arial"/>
                <w:b w:val="0"/>
                <w:sz w:val="17"/>
              </w:rPr>
              <w:t>181</w:t>
            </w:r>
          </w:p>
        </w:tc>
        <w:tc>
          <w:tcPr>
            <w:tcW w:type="dxa" w:w="1728"/>
            <w:vAlign w:val="center"/>
          </w:tcPr>
          <w:p>
            <w:r/>
            <w:r>
              <w:rPr>
                <w:rFonts w:ascii="Arial" w:hAnsi="Arial"/>
                <w:b w:val="0"/>
                <w:sz w:val="17"/>
              </w:rPr>
              <w:t>93</w:t>
            </w:r>
          </w:p>
        </w:tc>
        <w:tc>
          <w:tcPr>
            <w:tcW w:type="dxa" w:w="1584"/>
            <w:vAlign w:val="center"/>
          </w:tcPr>
          <w:p>
            <w:r/>
            <w:r>
              <w:rPr>
                <w:rFonts w:ascii="Arial" w:hAnsi="Arial"/>
                <w:b w:val="0"/>
                <w:sz w:val="17"/>
              </w:rPr>
              <w:t>88</w:t>
            </w:r>
          </w:p>
        </w:tc>
        <w:tc>
          <w:tcPr>
            <w:tcW w:type="dxa" w:w="1584"/>
            <w:vAlign w:val="center"/>
          </w:tcPr>
          <w:p>
            <w:r/>
            <w:r>
              <w:rPr>
                <w:rFonts w:ascii="Arial" w:hAnsi="Arial"/>
                <w:b w:val="0"/>
                <w:sz w:val="17"/>
              </w:rPr>
              <w:t>51.38%</w:t>
            </w:r>
          </w:p>
        </w:tc>
      </w:tr>
      <w:tr>
        <w:tc>
          <w:tcPr>
            <w:tcW w:type="dxa" w:w="2160"/>
            <w:vAlign w:val="center"/>
          </w:tcPr>
          <w:p>
            <w:r/>
            <w:r>
              <w:rPr>
                <w:rFonts w:ascii="Arial" w:hAnsi="Arial"/>
                <w:b w:val="0"/>
                <w:sz w:val="17"/>
              </w:rPr>
              <w:t>Effusion</w:t>
            </w:r>
          </w:p>
        </w:tc>
        <w:tc>
          <w:tcPr>
            <w:tcW w:type="dxa" w:w="1872"/>
            <w:vAlign w:val="center"/>
          </w:tcPr>
          <w:p>
            <w:r/>
            <w:r>
              <w:rPr>
                <w:rFonts w:ascii="Arial" w:hAnsi="Arial"/>
                <w:b w:val="0"/>
                <w:sz w:val="17"/>
              </w:rPr>
              <w:t>ResNet50</w:t>
            </w:r>
          </w:p>
        </w:tc>
        <w:tc>
          <w:tcPr>
            <w:tcW w:type="dxa" w:w="1296"/>
            <w:vAlign w:val="center"/>
          </w:tcPr>
          <w:p>
            <w:r/>
            <w:r>
              <w:rPr>
                <w:rFonts w:ascii="Arial" w:hAnsi="Arial"/>
                <w:b w:val="0"/>
                <w:sz w:val="17"/>
              </w:rPr>
              <w:t>181</w:t>
            </w:r>
          </w:p>
        </w:tc>
        <w:tc>
          <w:tcPr>
            <w:tcW w:type="dxa" w:w="1728"/>
            <w:vAlign w:val="center"/>
          </w:tcPr>
          <w:p>
            <w:r/>
            <w:r>
              <w:rPr>
                <w:rFonts w:ascii="Arial" w:hAnsi="Arial"/>
                <w:b w:val="0"/>
                <w:sz w:val="17"/>
              </w:rPr>
              <w:t>76</w:t>
            </w:r>
          </w:p>
        </w:tc>
        <w:tc>
          <w:tcPr>
            <w:tcW w:type="dxa" w:w="1584"/>
            <w:vAlign w:val="center"/>
          </w:tcPr>
          <w:p>
            <w:r/>
            <w:r>
              <w:rPr>
                <w:rFonts w:ascii="Arial" w:hAnsi="Arial"/>
                <w:b w:val="0"/>
                <w:sz w:val="17"/>
              </w:rPr>
              <w:t>105</w:t>
            </w:r>
          </w:p>
        </w:tc>
        <w:tc>
          <w:tcPr>
            <w:tcW w:type="dxa" w:w="1584"/>
            <w:vAlign w:val="center"/>
          </w:tcPr>
          <w:p>
            <w:r/>
            <w:r>
              <w:rPr>
                <w:rFonts w:ascii="Arial" w:hAnsi="Arial"/>
                <w:b w:val="0"/>
                <w:sz w:val="17"/>
              </w:rPr>
              <w:t>41.99%</w:t>
            </w:r>
          </w:p>
        </w:tc>
      </w:tr>
      <w:tr>
        <w:tc>
          <w:tcPr>
            <w:tcW w:type="dxa" w:w="2160"/>
            <w:vAlign w:val="center"/>
          </w:tcPr>
          <w:p>
            <w:r/>
            <w:r>
              <w:rPr>
                <w:rFonts w:ascii="Arial" w:hAnsi="Arial"/>
                <w:b w:val="0"/>
                <w:sz w:val="17"/>
              </w:rPr>
              <w:t>Pneumonia</w:t>
            </w:r>
          </w:p>
        </w:tc>
        <w:tc>
          <w:tcPr>
            <w:tcW w:type="dxa" w:w="1872"/>
            <w:vAlign w:val="center"/>
          </w:tcPr>
          <w:p>
            <w:r/>
            <w:r>
              <w:rPr>
                <w:rFonts w:ascii="Arial" w:hAnsi="Arial"/>
                <w:b w:val="0"/>
                <w:sz w:val="17"/>
              </w:rPr>
              <w:t>DenseNet121</w:t>
            </w:r>
          </w:p>
        </w:tc>
        <w:tc>
          <w:tcPr>
            <w:tcW w:type="dxa" w:w="1296"/>
            <w:vAlign w:val="center"/>
          </w:tcPr>
          <w:p>
            <w:r/>
            <w:r>
              <w:rPr>
                <w:rFonts w:ascii="Arial" w:hAnsi="Arial"/>
                <w:b w:val="0"/>
                <w:sz w:val="17"/>
              </w:rPr>
              <w:t>33</w:t>
            </w:r>
          </w:p>
        </w:tc>
        <w:tc>
          <w:tcPr>
            <w:tcW w:type="dxa" w:w="1728"/>
            <w:vAlign w:val="center"/>
          </w:tcPr>
          <w:p>
            <w:r/>
            <w:r>
              <w:rPr>
                <w:rFonts w:ascii="Arial" w:hAnsi="Arial"/>
                <w:b w:val="0"/>
                <w:sz w:val="17"/>
              </w:rPr>
              <w:t>24</w:t>
            </w:r>
          </w:p>
        </w:tc>
        <w:tc>
          <w:tcPr>
            <w:tcW w:type="dxa" w:w="1584"/>
            <w:vAlign w:val="center"/>
          </w:tcPr>
          <w:p>
            <w:r/>
            <w:r>
              <w:rPr>
                <w:rFonts w:ascii="Arial" w:hAnsi="Arial"/>
                <w:b w:val="0"/>
                <w:sz w:val="17"/>
              </w:rPr>
              <w:t>9</w:t>
            </w:r>
          </w:p>
        </w:tc>
        <w:tc>
          <w:tcPr>
            <w:tcW w:type="dxa" w:w="1584"/>
            <w:vAlign w:val="center"/>
          </w:tcPr>
          <w:p>
            <w:r/>
            <w:r>
              <w:rPr>
                <w:rFonts w:ascii="Arial" w:hAnsi="Arial"/>
                <w:b w:val="0"/>
                <w:sz w:val="17"/>
              </w:rPr>
              <w:t>72.73%</w:t>
            </w:r>
          </w:p>
        </w:tc>
      </w:tr>
      <w:tr>
        <w:tc>
          <w:tcPr>
            <w:tcW w:type="dxa" w:w="2160"/>
            <w:vAlign w:val="center"/>
          </w:tcPr>
          <w:p>
            <w:r/>
            <w:r>
              <w:rPr>
                <w:rFonts w:ascii="Arial" w:hAnsi="Arial"/>
                <w:b w:val="0"/>
                <w:sz w:val="17"/>
              </w:rPr>
              <w:t>Pneumonia</w:t>
            </w:r>
          </w:p>
        </w:tc>
        <w:tc>
          <w:tcPr>
            <w:tcW w:type="dxa" w:w="1872"/>
            <w:vAlign w:val="center"/>
          </w:tcPr>
          <w:p>
            <w:r/>
            <w:r>
              <w:rPr>
                <w:rFonts w:ascii="Arial" w:hAnsi="Arial"/>
                <w:b w:val="0"/>
                <w:sz w:val="17"/>
              </w:rPr>
              <w:t>ResNet50</w:t>
            </w:r>
          </w:p>
        </w:tc>
        <w:tc>
          <w:tcPr>
            <w:tcW w:type="dxa" w:w="1296"/>
            <w:vAlign w:val="center"/>
          </w:tcPr>
          <w:p>
            <w:r/>
            <w:r>
              <w:rPr>
                <w:rFonts w:ascii="Arial" w:hAnsi="Arial"/>
                <w:b w:val="0"/>
                <w:sz w:val="17"/>
              </w:rPr>
              <w:t>33</w:t>
            </w:r>
          </w:p>
        </w:tc>
        <w:tc>
          <w:tcPr>
            <w:tcW w:type="dxa" w:w="1728"/>
            <w:vAlign w:val="center"/>
          </w:tcPr>
          <w:p>
            <w:r/>
            <w:r>
              <w:rPr>
                <w:rFonts w:ascii="Arial" w:hAnsi="Arial"/>
                <w:b w:val="0"/>
                <w:sz w:val="17"/>
              </w:rPr>
              <w:t>25</w:t>
            </w:r>
          </w:p>
        </w:tc>
        <w:tc>
          <w:tcPr>
            <w:tcW w:type="dxa" w:w="1584"/>
            <w:vAlign w:val="center"/>
          </w:tcPr>
          <w:p>
            <w:r/>
            <w:r>
              <w:rPr>
                <w:rFonts w:ascii="Arial" w:hAnsi="Arial"/>
                <w:b w:val="0"/>
                <w:sz w:val="17"/>
              </w:rPr>
              <w:t>8</w:t>
            </w:r>
          </w:p>
        </w:tc>
        <w:tc>
          <w:tcPr>
            <w:tcW w:type="dxa" w:w="1584"/>
            <w:vAlign w:val="center"/>
          </w:tcPr>
          <w:p>
            <w:r/>
            <w:r>
              <w:rPr>
                <w:rFonts w:ascii="Arial" w:hAnsi="Arial"/>
                <w:b w:val="0"/>
                <w:sz w:val="17"/>
              </w:rPr>
              <w:t>75.76%</w:t>
            </w:r>
          </w:p>
        </w:tc>
      </w:tr>
      <w:tr>
        <w:tc>
          <w:tcPr>
            <w:tcW w:type="dxa" w:w="2160"/>
            <w:vAlign w:val="center"/>
          </w:tcPr>
          <w:p>
            <w:r/>
            <w:r>
              <w:rPr>
                <w:rFonts w:ascii="Arial" w:hAnsi="Arial"/>
                <w:b w:val="0"/>
                <w:sz w:val="17"/>
              </w:rPr>
              <w:t>Pneumothorax</w:t>
            </w:r>
          </w:p>
        </w:tc>
        <w:tc>
          <w:tcPr>
            <w:tcW w:type="dxa" w:w="1872"/>
            <w:vAlign w:val="center"/>
          </w:tcPr>
          <w:p>
            <w:r/>
            <w:r>
              <w:rPr>
                <w:rFonts w:ascii="Arial" w:hAnsi="Arial"/>
                <w:b w:val="0"/>
                <w:sz w:val="17"/>
              </w:rPr>
              <w:t>DenseNet121</w:t>
            </w:r>
          </w:p>
        </w:tc>
        <w:tc>
          <w:tcPr>
            <w:tcW w:type="dxa" w:w="1296"/>
            <w:vAlign w:val="center"/>
          </w:tcPr>
          <w:p>
            <w:r/>
            <w:r>
              <w:rPr>
                <w:rFonts w:ascii="Arial" w:hAnsi="Arial"/>
                <w:b w:val="0"/>
                <w:sz w:val="17"/>
              </w:rPr>
              <w:t>117</w:t>
            </w:r>
          </w:p>
        </w:tc>
        <w:tc>
          <w:tcPr>
            <w:tcW w:type="dxa" w:w="1728"/>
            <w:vAlign w:val="center"/>
          </w:tcPr>
          <w:p>
            <w:r/>
            <w:r>
              <w:rPr>
                <w:rFonts w:ascii="Arial" w:hAnsi="Arial"/>
                <w:b w:val="0"/>
                <w:sz w:val="17"/>
              </w:rPr>
              <w:t>65</w:t>
            </w:r>
          </w:p>
        </w:tc>
        <w:tc>
          <w:tcPr>
            <w:tcW w:type="dxa" w:w="1584"/>
            <w:vAlign w:val="center"/>
          </w:tcPr>
          <w:p>
            <w:r/>
            <w:r>
              <w:rPr>
                <w:rFonts w:ascii="Arial" w:hAnsi="Arial"/>
                <w:b w:val="0"/>
                <w:sz w:val="17"/>
              </w:rPr>
              <w:t>52</w:t>
            </w:r>
          </w:p>
        </w:tc>
        <w:tc>
          <w:tcPr>
            <w:tcW w:type="dxa" w:w="1584"/>
            <w:vAlign w:val="center"/>
          </w:tcPr>
          <w:p>
            <w:r/>
            <w:r>
              <w:rPr>
                <w:rFonts w:ascii="Arial" w:hAnsi="Arial"/>
                <w:b w:val="0"/>
                <w:sz w:val="17"/>
              </w:rPr>
              <w:t>55.56%</w:t>
            </w:r>
          </w:p>
        </w:tc>
      </w:tr>
      <w:tr>
        <w:tc>
          <w:tcPr>
            <w:tcW w:type="dxa" w:w="2160"/>
            <w:vAlign w:val="center"/>
          </w:tcPr>
          <w:p>
            <w:r/>
            <w:r>
              <w:rPr>
                <w:rFonts w:ascii="Arial" w:hAnsi="Arial"/>
                <w:b w:val="0"/>
                <w:sz w:val="17"/>
              </w:rPr>
              <w:t>Pneumothorax</w:t>
            </w:r>
          </w:p>
        </w:tc>
        <w:tc>
          <w:tcPr>
            <w:tcW w:type="dxa" w:w="1872"/>
            <w:vAlign w:val="center"/>
          </w:tcPr>
          <w:p>
            <w:r/>
            <w:r>
              <w:rPr>
                <w:rFonts w:ascii="Arial" w:hAnsi="Arial"/>
                <w:b w:val="0"/>
                <w:sz w:val="17"/>
              </w:rPr>
              <w:t>ResNet50</w:t>
            </w:r>
          </w:p>
        </w:tc>
        <w:tc>
          <w:tcPr>
            <w:tcW w:type="dxa" w:w="1296"/>
            <w:vAlign w:val="center"/>
          </w:tcPr>
          <w:p>
            <w:r/>
            <w:r>
              <w:rPr>
                <w:rFonts w:ascii="Arial" w:hAnsi="Arial"/>
                <w:b w:val="0"/>
                <w:sz w:val="17"/>
              </w:rPr>
              <w:t>117</w:t>
            </w:r>
          </w:p>
        </w:tc>
        <w:tc>
          <w:tcPr>
            <w:tcW w:type="dxa" w:w="1728"/>
            <w:vAlign w:val="center"/>
          </w:tcPr>
          <w:p>
            <w:r/>
            <w:r>
              <w:rPr>
                <w:rFonts w:ascii="Arial" w:hAnsi="Arial"/>
                <w:b w:val="0"/>
                <w:sz w:val="17"/>
              </w:rPr>
              <w:t>38</w:t>
            </w:r>
          </w:p>
        </w:tc>
        <w:tc>
          <w:tcPr>
            <w:tcW w:type="dxa" w:w="1584"/>
            <w:vAlign w:val="center"/>
          </w:tcPr>
          <w:p>
            <w:r/>
            <w:r>
              <w:rPr>
                <w:rFonts w:ascii="Arial" w:hAnsi="Arial"/>
                <w:b w:val="0"/>
                <w:sz w:val="17"/>
              </w:rPr>
              <w:t>79</w:t>
            </w:r>
          </w:p>
        </w:tc>
        <w:tc>
          <w:tcPr>
            <w:tcW w:type="dxa" w:w="1584"/>
            <w:vAlign w:val="center"/>
          </w:tcPr>
          <w:p>
            <w:r/>
            <w:r>
              <w:rPr>
                <w:rFonts w:ascii="Arial" w:hAnsi="Arial"/>
                <w:b w:val="0"/>
                <w:sz w:val="17"/>
              </w:rPr>
              <w:t>32.48%</w:t>
            </w:r>
          </w:p>
        </w:tc>
      </w:tr>
    </w:tbl>
    <w:p/>
    <w:p>
      <w:r>
        <w:t>Pneumonia produced the highest binary unseen-disease detection rates for both architectures. However, its test set contains only 33 images, so this result should not be interpreted with the same confidence as diseases with larger test samples.</w:t>
      </w:r>
    </w:p>
    <w:p>
      <w:pPr>
        <w:pStyle w:val="Heading2"/>
      </w:pPr>
      <w:r>
        <w:t>9. Step 10: Binary vs Disease-Specific Model Comparison</w:t>
      </w:r>
    </w:p>
    <w:p>
      <w:pPr>
        <w:pStyle w:val="Heading3"/>
      </w:pPr>
      <w:r>
        <w:t>9.1 Disease-Specific Model Setup</w:t>
      </w:r>
    </w:p>
    <w:p>
      <w:r>
        <w:t>A second modelling approach was implemented to compare direct binary classification with disease-specific classification. For each experiment, the held-out disease was removed as both a training exposure and an output class. The disease-specific model therefore contained 13 outputs representing the remaining known diseases.</w:t>
      </w:r>
    </w:p>
    <w:p>
      <w:r>
        <w:t>Because chest X-rays can contain multiple disease labels, the disease-specific models used BCEWithLogitsLoss. Positive class weighting was applied to reduce the effect of strong label imbalance. DenseNet121 and ResNet50 were each trained for 3 epochs for all four held-out-disease experiments.</w:t>
      </w:r>
    </w:p>
    <w:p>
      <w:pPr>
        <w:pStyle w:val="Heading3"/>
      </w:pPr>
      <w:r>
        <w:t>9.2 Collapsing Disease-Specific Predictions to Binary</w:t>
      </w:r>
    </w:p>
    <w:p>
      <w:r>
        <w:t>For comparison with the direct binary models, sigmoid probabilities were generated for all 13 known disease outputs. Using a threshold of 0.5, an image was classified as Abnormal if at least one known disease output reached or exceeded the threshold. If all 13 outputs were below 0.5, the image was classified as Normal. The model did not need to identify the held-out disease by name; the experiment tested whether it recognised the image as abnormal through any known disease response.</w:t>
      </w:r>
    </w:p>
    <w:p>
      <w:pPr>
        <w:pStyle w:val="Heading3"/>
      </w:pPr>
      <w:r>
        <w:t>9.3 Comparison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872"/>
            <w:vAlign w:val="center"/>
            <w:shd w:fill="D9EAF7"/>
          </w:tcPr>
          <w:p>
            <w:r/>
            <w:r>
              <w:rPr>
                <w:rFonts w:ascii="Arial" w:hAnsi="Arial"/>
                <w:b/>
                <w:sz w:val="18"/>
              </w:rPr>
              <w:t>Disease</w:t>
            </w:r>
          </w:p>
        </w:tc>
        <w:tc>
          <w:tcPr>
            <w:tcW w:type="dxa" w:w="1584"/>
            <w:vAlign w:val="center"/>
            <w:shd w:fill="D9EAF7"/>
          </w:tcPr>
          <w:p>
            <w:r/>
            <w:r>
              <w:rPr>
                <w:rFonts w:ascii="Arial" w:hAnsi="Arial"/>
                <w:b/>
                <w:sz w:val="18"/>
              </w:rPr>
              <w:t>Model</w:t>
            </w:r>
          </w:p>
        </w:tc>
        <w:tc>
          <w:tcPr>
            <w:tcW w:type="dxa" w:w="1728"/>
            <w:vAlign w:val="center"/>
            <w:shd w:fill="D9EAF7"/>
          </w:tcPr>
          <w:p>
            <w:r/>
            <w:r>
              <w:rPr>
                <w:rFonts w:ascii="Arial" w:hAnsi="Arial"/>
                <w:b/>
                <w:sz w:val="18"/>
              </w:rPr>
              <w:t>Binary detection</w:t>
            </w:r>
          </w:p>
        </w:tc>
        <w:tc>
          <w:tcPr>
            <w:tcW w:type="dxa" w:w="2160"/>
            <w:vAlign w:val="center"/>
            <w:shd w:fill="D9EAF7"/>
          </w:tcPr>
          <w:p>
            <w:r/>
            <w:r>
              <w:rPr>
                <w:rFonts w:ascii="Arial" w:hAnsi="Arial"/>
                <w:b/>
                <w:sz w:val="18"/>
              </w:rPr>
              <w:t>Disease-specific detection</w:t>
            </w:r>
          </w:p>
        </w:tc>
        <w:tc>
          <w:tcPr>
            <w:tcW w:type="dxa" w:w="1440"/>
            <w:vAlign w:val="center"/>
            <w:shd w:fill="D9EAF7"/>
          </w:tcPr>
          <w:p>
            <w:r/>
            <w:r>
              <w:rPr>
                <w:rFonts w:ascii="Arial" w:hAnsi="Arial"/>
                <w:b/>
                <w:sz w:val="18"/>
              </w:rPr>
              <w:t>Difference (pp)</w:t>
            </w:r>
          </w:p>
        </w:tc>
        <w:tc>
          <w:tcPr>
            <w:tcW w:type="dxa" w:w="2160"/>
            <w:vAlign w:val="center"/>
            <w:shd w:fill="D9EAF7"/>
          </w:tcPr>
          <w:p>
            <w:r/>
            <w:r>
              <w:rPr>
                <w:rFonts w:ascii="Arial" w:hAnsi="Arial"/>
                <w:b/>
                <w:sz w:val="18"/>
              </w:rPr>
              <w:t>Higher detection</w:t>
            </w:r>
          </w:p>
        </w:tc>
      </w:tr>
      <w:tr>
        <w:tc>
          <w:tcPr>
            <w:tcW w:type="dxa" w:w="1872"/>
            <w:vAlign w:val="center"/>
          </w:tcPr>
          <w:p>
            <w:r/>
            <w:r>
              <w:rPr>
                <w:rFonts w:ascii="Arial" w:hAnsi="Arial"/>
                <w:b w:val="0"/>
                <w:sz w:val="17"/>
              </w:rPr>
              <w:t>Atelectasis</w:t>
            </w:r>
          </w:p>
        </w:tc>
        <w:tc>
          <w:tcPr>
            <w:tcW w:type="dxa" w:w="1584"/>
            <w:vAlign w:val="center"/>
          </w:tcPr>
          <w:p>
            <w:r/>
            <w:r>
              <w:rPr>
                <w:rFonts w:ascii="Arial" w:hAnsi="Arial"/>
                <w:b w:val="0"/>
                <w:sz w:val="17"/>
              </w:rPr>
              <w:t>DenseNet121</w:t>
            </w:r>
          </w:p>
        </w:tc>
        <w:tc>
          <w:tcPr>
            <w:tcW w:type="dxa" w:w="1728"/>
            <w:vAlign w:val="center"/>
          </w:tcPr>
          <w:p>
            <w:r/>
            <w:r>
              <w:rPr>
                <w:rFonts w:ascii="Arial" w:hAnsi="Arial"/>
                <w:b w:val="0"/>
                <w:sz w:val="17"/>
              </w:rPr>
              <w:t>42.50%</w:t>
            </w:r>
          </w:p>
        </w:tc>
        <w:tc>
          <w:tcPr>
            <w:tcW w:type="dxa" w:w="2160"/>
            <w:vAlign w:val="center"/>
          </w:tcPr>
          <w:p>
            <w:r/>
            <w:r>
              <w:rPr>
                <w:rFonts w:ascii="Arial" w:hAnsi="Arial"/>
                <w:b w:val="0"/>
                <w:sz w:val="17"/>
              </w:rPr>
              <w:t>96.88%</w:t>
            </w:r>
          </w:p>
        </w:tc>
        <w:tc>
          <w:tcPr>
            <w:tcW w:type="dxa" w:w="1440"/>
            <w:vAlign w:val="center"/>
          </w:tcPr>
          <w:p>
            <w:r/>
            <w:r>
              <w:rPr>
                <w:rFonts w:ascii="Arial" w:hAnsi="Arial"/>
                <w:b w:val="0"/>
                <w:sz w:val="17"/>
              </w:rPr>
              <w:t>+54.38</w:t>
            </w:r>
          </w:p>
        </w:tc>
        <w:tc>
          <w:tcPr>
            <w:tcW w:type="dxa" w:w="2160"/>
            <w:vAlign w:val="center"/>
          </w:tcPr>
          <w:p>
            <w:r/>
            <w:r>
              <w:rPr>
                <w:rFonts w:ascii="Arial" w:hAnsi="Arial"/>
                <w:b w:val="0"/>
                <w:sz w:val="17"/>
              </w:rPr>
              <w:t>Disease-specific</w:t>
            </w:r>
          </w:p>
        </w:tc>
      </w:tr>
      <w:tr>
        <w:tc>
          <w:tcPr>
            <w:tcW w:type="dxa" w:w="1872"/>
            <w:vAlign w:val="center"/>
          </w:tcPr>
          <w:p>
            <w:r/>
            <w:r>
              <w:rPr>
                <w:rFonts w:ascii="Arial" w:hAnsi="Arial"/>
                <w:b w:val="0"/>
                <w:sz w:val="17"/>
              </w:rPr>
              <w:t>Atelectasis</w:t>
            </w:r>
          </w:p>
        </w:tc>
        <w:tc>
          <w:tcPr>
            <w:tcW w:type="dxa" w:w="1584"/>
            <w:vAlign w:val="center"/>
          </w:tcPr>
          <w:p>
            <w:r/>
            <w:r>
              <w:rPr>
                <w:rFonts w:ascii="Arial" w:hAnsi="Arial"/>
                <w:b w:val="0"/>
                <w:sz w:val="17"/>
              </w:rPr>
              <w:t>ResNet50</w:t>
            </w:r>
          </w:p>
        </w:tc>
        <w:tc>
          <w:tcPr>
            <w:tcW w:type="dxa" w:w="1728"/>
            <w:vAlign w:val="center"/>
          </w:tcPr>
          <w:p>
            <w:r/>
            <w:r>
              <w:rPr>
                <w:rFonts w:ascii="Arial" w:hAnsi="Arial"/>
                <w:b w:val="0"/>
                <w:sz w:val="17"/>
              </w:rPr>
              <w:t>31.25%</w:t>
            </w:r>
          </w:p>
        </w:tc>
        <w:tc>
          <w:tcPr>
            <w:tcW w:type="dxa" w:w="2160"/>
            <w:vAlign w:val="center"/>
          </w:tcPr>
          <w:p>
            <w:r/>
            <w:r>
              <w:rPr>
                <w:rFonts w:ascii="Arial" w:hAnsi="Arial"/>
                <w:b w:val="0"/>
                <w:sz w:val="17"/>
              </w:rPr>
              <w:t>85.62%</w:t>
            </w:r>
          </w:p>
        </w:tc>
        <w:tc>
          <w:tcPr>
            <w:tcW w:type="dxa" w:w="1440"/>
            <w:vAlign w:val="center"/>
          </w:tcPr>
          <w:p>
            <w:r/>
            <w:r>
              <w:rPr>
                <w:rFonts w:ascii="Arial" w:hAnsi="Arial"/>
                <w:b w:val="0"/>
                <w:sz w:val="17"/>
              </w:rPr>
              <w:t>+54.38</w:t>
            </w:r>
          </w:p>
        </w:tc>
        <w:tc>
          <w:tcPr>
            <w:tcW w:type="dxa" w:w="2160"/>
            <w:vAlign w:val="center"/>
          </w:tcPr>
          <w:p>
            <w:r/>
            <w:r>
              <w:rPr>
                <w:rFonts w:ascii="Arial" w:hAnsi="Arial"/>
                <w:b w:val="0"/>
                <w:sz w:val="17"/>
              </w:rPr>
              <w:t>Disease-specific</w:t>
            </w:r>
          </w:p>
        </w:tc>
      </w:tr>
      <w:tr>
        <w:tc>
          <w:tcPr>
            <w:tcW w:type="dxa" w:w="1872"/>
            <w:vAlign w:val="center"/>
          </w:tcPr>
          <w:p>
            <w:r/>
            <w:r>
              <w:rPr>
                <w:rFonts w:ascii="Arial" w:hAnsi="Arial"/>
                <w:b w:val="0"/>
                <w:sz w:val="17"/>
              </w:rPr>
              <w:t>Effusion</w:t>
            </w:r>
          </w:p>
        </w:tc>
        <w:tc>
          <w:tcPr>
            <w:tcW w:type="dxa" w:w="1584"/>
            <w:vAlign w:val="center"/>
          </w:tcPr>
          <w:p>
            <w:r/>
            <w:r>
              <w:rPr>
                <w:rFonts w:ascii="Arial" w:hAnsi="Arial"/>
                <w:b w:val="0"/>
                <w:sz w:val="17"/>
              </w:rPr>
              <w:t>DenseNet121</w:t>
            </w:r>
          </w:p>
        </w:tc>
        <w:tc>
          <w:tcPr>
            <w:tcW w:type="dxa" w:w="1728"/>
            <w:vAlign w:val="center"/>
          </w:tcPr>
          <w:p>
            <w:r/>
            <w:r>
              <w:rPr>
                <w:rFonts w:ascii="Arial" w:hAnsi="Arial"/>
                <w:b w:val="0"/>
                <w:sz w:val="17"/>
              </w:rPr>
              <w:t>51.38%</w:t>
            </w:r>
          </w:p>
        </w:tc>
        <w:tc>
          <w:tcPr>
            <w:tcW w:type="dxa" w:w="2160"/>
            <w:vAlign w:val="center"/>
          </w:tcPr>
          <w:p>
            <w:r/>
            <w:r>
              <w:rPr>
                <w:rFonts w:ascii="Arial" w:hAnsi="Arial"/>
                <w:b w:val="0"/>
                <w:sz w:val="17"/>
              </w:rPr>
              <w:t>100.00%</w:t>
            </w:r>
          </w:p>
        </w:tc>
        <w:tc>
          <w:tcPr>
            <w:tcW w:type="dxa" w:w="1440"/>
            <w:vAlign w:val="center"/>
          </w:tcPr>
          <w:p>
            <w:r/>
            <w:r>
              <w:rPr>
                <w:rFonts w:ascii="Arial" w:hAnsi="Arial"/>
                <w:b w:val="0"/>
                <w:sz w:val="17"/>
              </w:rPr>
              <w:t>+48.62</w:t>
            </w:r>
          </w:p>
        </w:tc>
        <w:tc>
          <w:tcPr>
            <w:tcW w:type="dxa" w:w="2160"/>
            <w:vAlign w:val="center"/>
          </w:tcPr>
          <w:p>
            <w:r/>
            <w:r>
              <w:rPr>
                <w:rFonts w:ascii="Arial" w:hAnsi="Arial"/>
                <w:b w:val="0"/>
                <w:sz w:val="17"/>
              </w:rPr>
              <w:t>Disease-specific</w:t>
            </w:r>
          </w:p>
        </w:tc>
      </w:tr>
      <w:tr>
        <w:tc>
          <w:tcPr>
            <w:tcW w:type="dxa" w:w="1872"/>
            <w:vAlign w:val="center"/>
          </w:tcPr>
          <w:p>
            <w:r/>
            <w:r>
              <w:rPr>
                <w:rFonts w:ascii="Arial" w:hAnsi="Arial"/>
                <w:b w:val="0"/>
                <w:sz w:val="17"/>
              </w:rPr>
              <w:t>Effusion</w:t>
            </w:r>
          </w:p>
        </w:tc>
        <w:tc>
          <w:tcPr>
            <w:tcW w:type="dxa" w:w="1584"/>
            <w:vAlign w:val="center"/>
          </w:tcPr>
          <w:p>
            <w:r/>
            <w:r>
              <w:rPr>
                <w:rFonts w:ascii="Arial" w:hAnsi="Arial"/>
                <w:b w:val="0"/>
                <w:sz w:val="17"/>
              </w:rPr>
              <w:t>ResNet50</w:t>
            </w:r>
          </w:p>
        </w:tc>
        <w:tc>
          <w:tcPr>
            <w:tcW w:type="dxa" w:w="1728"/>
            <w:vAlign w:val="center"/>
          </w:tcPr>
          <w:p>
            <w:r/>
            <w:r>
              <w:rPr>
                <w:rFonts w:ascii="Arial" w:hAnsi="Arial"/>
                <w:b w:val="0"/>
                <w:sz w:val="17"/>
              </w:rPr>
              <w:t>41.99%</w:t>
            </w:r>
          </w:p>
        </w:tc>
        <w:tc>
          <w:tcPr>
            <w:tcW w:type="dxa" w:w="2160"/>
            <w:vAlign w:val="center"/>
          </w:tcPr>
          <w:p>
            <w:r/>
            <w:r>
              <w:rPr>
                <w:rFonts w:ascii="Arial" w:hAnsi="Arial"/>
                <w:b w:val="0"/>
                <w:sz w:val="17"/>
              </w:rPr>
              <w:t>90.61%</w:t>
            </w:r>
          </w:p>
        </w:tc>
        <w:tc>
          <w:tcPr>
            <w:tcW w:type="dxa" w:w="1440"/>
            <w:vAlign w:val="center"/>
          </w:tcPr>
          <w:p>
            <w:r/>
            <w:r>
              <w:rPr>
                <w:rFonts w:ascii="Arial" w:hAnsi="Arial"/>
                <w:b w:val="0"/>
                <w:sz w:val="17"/>
              </w:rPr>
              <w:t>+48.62</w:t>
            </w:r>
          </w:p>
        </w:tc>
        <w:tc>
          <w:tcPr>
            <w:tcW w:type="dxa" w:w="2160"/>
            <w:vAlign w:val="center"/>
          </w:tcPr>
          <w:p>
            <w:r/>
            <w:r>
              <w:rPr>
                <w:rFonts w:ascii="Arial" w:hAnsi="Arial"/>
                <w:b w:val="0"/>
                <w:sz w:val="17"/>
              </w:rPr>
              <w:t>Disease-specific</w:t>
            </w:r>
          </w:p>
        </w:tc>
      </w:tr>
      <w:tr>
        <w:tc>
          <w:tcPr>
            <w:tcW w:type="dxa" w:w="1872"/>
            <w:vAlign w:val="center"/>
          </w:tcPr>
          <w:p>
            <w:r/>
            <w:r>
              <w:rPr>
                <w:rFonts w:ascii="Arial" w:hAnsi="Arial"/>
                <w:b w:val="0"/>
                <w:sz w:val="17"/>
              </w:rPr>
              <w:t>Pneumonia</w:t>
            </w:r>
          </w:p>
        </w:tc>
        <w:tc>
          <w:tcPr>
            <w:tcW w:type="dxa" w:w="1584"/>
            <w:vAlign w:val="center"/>
          </w:tcPr>
          <w:p>
            <w:r/>
            <w:r>
              <w:rPr>
                <w:rFonts w:ascii="Arial" w:hAnsi="Arial"/>
                <w:b w:val="0"/>
                <w:sz w:val="17"/>
              </w:rPr>
              <w:t>DenseNet121</w:t>
            </w:r>
          </w:p>
        </w:tc>
        <w:tc>
          <w:tcPr>
            <w:tcW w:type="dxa" w:w="1728"/>
            <w:vAlign w:val="center"/>
          </w:tcPr>
          <w:p>
            <w:r/>
            <w:r>
              <w:rPr>
                <w:rFonts w:ascii="Arial" w:hAnsi="Arial"/>
                <w:b w:val="0"/>
                <w:sz w:val="17"/>
              </w:rPr>
              <w:t>72.73%</w:t>
            </w:r>
          </w:p>
        </w:tc>
        <w:tc>
          <w:tcPr>
            <w:tcW w:type="dxa" w:w="2160"/>
            <w:vAlign w:val="center"/>
          </w:tcPr>
          <w:p>
            <w:r/>
            <w:r>
              <w:rPr>
                <w:rFonts w:ascii="Arial" w:hAnsi="Arial"/>
                <w:b w:val="0"/>
                <w:sz w:val="17"/>
              </w:rPr>
              <w:t>96.97%</w:t>
            </w:r>
          </w:p>
        </w:tc>
        <w:tc>
          <w:tcPr>
            <w:tcW w:type="dxa" w:w="1440"/>
            <w:vAlign w:val="center"/>
          </w:tcPr>
          <w:p>
            <w:r/>
            <w:r>
              <w:rPr>
                <w:rFonts w:ascii="Arial" w:hAnsi="Arial"/>
                <w:b w:val="0"/>
                <w:sz w:val="17"/>
              </w:rPr>
              <w:t>+24.24</w:t>
            </w:r>
          </w:p>
        </w:tc>
        <w:tc>
          <w:tcPr>
            <w:tcW w:type="dxa" w:w="2160"/>
            <w:vAlign w:val="center"/>
          </w:tcPr>
          <w:p>
            <w:r/>
            <w:r>
              <w:rPr>
                <w:rFonts w:ascii="Arial" w:hAnsi="Arial"/>
                <w:b w:val="0"/>
                <w:sz w:val="17"/>
              </w:rPr>
              <w:t>Disease-specific</w:t>
            </w:r>
          </w:p>
        </w:tc>
      </w:tr>
      <w:tr>
        <w:tc>
          <w:tcPr>
            <w:tcW w:type="dxa" w:w="1872"/>
            <w:vAlign w:val="center"/>
          </w:tcPr>
          <w:p>
            <w:r/>
            <w:r>
              <w:rPr>
                <w:rFonts w:ascii="Arial" w:hAnsi="Arial"/>
                <w:b w:val="0"/>
                <w:sz w:val="17"/>
              </w:rPr>
              <w:t>Pneumonia</w:t>
            </w:r>
          </w:p>
        </w:tc>
        <w:tc>
          <w:tcPr>
            <w:tcW w:type="dxa" w:w="1584"/>
            <w:vAlign w:val="center"/>
          </w:tcPr>
          <w:p>
            <w:r/>
            <w:r>
              <w:rPr>
                <w:rFonts w:ascii="Arial" w:hAnsi="Arial"/>
                <w:b w:val="0"/>
                <w:sz w:val="17"/>
              </w:rPr>
              <w:t>ResNet50</w:t>
            </w:r>
          </w:p>
        </w:tc>
        <w:tc>
          <w:tcPr>
            <w:tcW w:type="dxa" w:w="1728"/>
            <w:vAlign w:val="center"/>
          </w:tcPr>
          <w:p>
            <w:r/>
            <w:r>
              <w:rPr>
                <w:rFonts w:ascii="Arial" w:hAnsi="Arial"/>
                <w:b w:val="0"/>
                <w:sz w:val="17"/>
              </w:rPr>
              <w:t>75.76%</w:t>
            </w:r>
          </w:p>
        </w:tc>
        <w:tc>
          <w:tcPr>
            <w:tcW w:type="dxa" w:w="2160"/>
            <w:vAlign w:val="center"/>
          </w:tcPr>
          <w:p>
            <w:r/>
            <w:r>
              <w:rPr>
                <w:rFonts w:ascii="Arial" w:hAnsi="Arial"/>
                <w:b w:val="0"/>
                <w:sz w:val="17"/>
              </w:rPr>
              <w:t>96.97%</w:t>
            </w:r>
          </w:p>
        </w:tc>
        <w:tc>
          <w:tcPr>
            <w:tcW w:type="dxa" w:w="1440"/>
            <w:vAlign w:val="center"/>
          </w:tcPr>
          <w:p>
            <w:r/>
            <w:r>
              <w:rPr>
                <w:rFonts w:ascii="Arial" w:hAnsi="Arial"/>
                <w:b w:val="0"/>
                <w:sz w:val="17"/>
              </w:rPr>
              <w:t>+21.21</w:t>
            </w:r>
          </w:p>
        </w:tc>
        <w:tc>
          <w:tcPr>
            <w:tcW w:type="dxa" w:w="2160"/>
            <w:vAlign w:val="center"/>
          </w:tcPr>
          <w:p>
            <w:r/>
            <w:r>
              <w:rPr>
                <w:rFonts w:ascii="Arial" w:hAnsi="Arial"/>
                <w:b w:val="0"/>
                <w:sz w:val="17"/>
              </w:rPr>
              <w:t>Disease-specific</w:t>
            </w:r>
          </w:p>
        </w:tc>
      </w:tr>
      <w:tr>
        <w:tc>
          <w:tcPr>
            <w:tcW w:type="dxa" w:w="1872"/>
            <w:vAlign w:val="center"/>
          </w:tcPr>
          <w:p>
            <w:r/>
            <w:r>
              <w:rPr>
                <w:rFonts w:ascii="Arial" w:hAnsi="Arial"/>
                <w:b w:val="0"/>
                <w:sz w:val="17"/>
              </w:rPr>
              <w:t>Pneumothorax</w:t>
            </w:r>
          </w:p>
        </w:tc>
        <w:tc>
          <w:tcPr>
            <w:tcW w:type="dxa" w:w="1584"/>
            <w:vAlign w:val="center"/>
          </w:tcPr>
          <w:p>
            <w:r/>
            <w:r>
              <w:rPr>
                <w:rFonts w:ascii="Arial" w:hAnsi="Arial"/>
                <w:b w:val="0"/>
                <w:sz w:val="17"/>
              </w:rPr>
              <w:t>DenseNet121</w:t>
            </w:r>
          </w:p>
        </w:tc>
        <w:tc>
          <w:tcPr>
            <w:tcW w:type="dxa" w:w="1728"/>
            <w:vAlign w:val="center"/>
          </w:tcPr>
          <w:p>
            <w:r/>
            <w:r>
              <w:rPr>
                <w:rFonts w:ascii="Arial" w:hAnsi="Arial"/>
                <w:b w:val="0"/>
                <w:sz w:val="17"/>
              </w:rPr>
              <w:t>55.56%</w:t>
            </w:r>
          </w:p>
        </w:tc>
        <w:tc>
          <w:tcPr>
            <w:tcW w:type="dxa" w:w="2160"/>
            <w:vAlign w:val="center"/>
          </w:tcPr>
          <w:p>
            <w:r/>
            <w:r>
              <w:rPr>
                <w:rFonts w:ascii="Arial" w:hAnsi="Arial"/>
                <w:b w:val="0"/>
                <w:sz w:val="17"/>
              </w:rPr>
              <w:t>98.29%</w:t>
            </w:r>
          </w:p>
        </w:tc>
        <w:tc>
          <w:tcPr>
            <w:tcW w:type="dxa" w:w="1440"/>
            <w:vAlign w:val="center"/>
          </w:tcPr>
          <w:p>
            <w:r/>
            <w:r>
              <w:rPr>
                <w:rFonts w:ascii="Arial" w:hAnsi="Arial"/>
                <w:b w:val="0"/>
                <w:sz w:val="17"/>
              </w:rPr>
              <w:t>+42.74</w:t>
            </w:r>
          </w:p>
        </w:tc>
        <w:tc>
          <w:tcPr>
            <w:tcW w:type="dxa" w:w="2160"/>
            <w:vAlign w:val="center"/>
          </w:tcPr>
          <w:p>
            <w:r/>
            <w:r>
              <w:rPr>
                <w:rFonts w:ascii="Arial" w:hAnsi="Arial"/>
                <w:b w:val="0"/>
                <w:sz w:val="17"/>
              </w:rPr>
              <w:t>Disease-specific</w:t>
            </w:r>
          </w:p>
        </w:tc>
      </w:tr>
      <w:tr>
        <w:tc>
          <w:tcPr>
            <w:tcW w:type="dxa" w:w="1872"/>
            <w:vAlign w:val="center"/>
          </w:tcPr>
          <w:p>
            <w:r/>
            <w:r>
              <w:rPr>
                <w:rFonts w:ascii="Arial" w:hAnsi="Arial"/>
                <w:b w:val="0"/>
                <w:sz w:val="17"/>
              </w:rPr>
              <w:t>Pneumothorax</w:t>
            </w:r>
          </w:p>
        </w:tc>
        <w:tc>
          <w:tcPr>
            <w:tcW w:type="dxa" w:w="1584"/>
            <w:vAlign w:val="center"/>
          </w:tcPr>
          <w:p>
            <w:r/>
            <w:r>
              <w:rPr>
                <w:rFonts w:ascii="Arial" w:hAnsi="Arial"/>
                <w:b w:val="0"/>
                <w:sz w:val="17"/>
              </w:rPr>
              <w:t>ResNet50</w:t>
            </w:r>
          </w:p>
        </w:tc>
        <w:tc>
          <w:tcPr>
            <w:tcW w:type="dxa" w:w="1728"/>
            <w:vAlign w:val="center"/>
          </w:tcPr>
          <w:p>
            <w:r/>
            <w:r>
              <w:rPr>
                <w:rFonts w:ascii="Arial" w:hAnsi="Arial"/>
                <w:b w:val="0"/>
                <w:sz w:val="17"/>
              </w:rPr>
              <w:t>32.48%</w:t>
            </w:r>
          </w:p>
        </w:tc>
        <w:tc>
          <w:tcPr>
            <w:tcW w:type="dxa" w:w="2160"/>
            <w:vAlign w:val="center"/>
          </w:tcPr>
          <w:p>
            <w:r/>
            <w:r>
              <w:rPr>
                <w:rFonts w:ascii="Arial" w:hAnsi="Arial"/>
                <w:b w:val="0"/>
                <w:sz w:val="17"/>
              </w:rPr>
              <w:t>99.15%</w:t>
            </w:r>
          </w:p>
        </w:tc>
        <w:tc>
          <w:tcPr>
            <w:tcW w:type="dxa" w:w="1440"/>
            <w:vAlign w:val="center"/>
          </w:tcPr>
          <w:p>
            <w:r/>
            <w:r>
              <w:rPr>
                <w:rFonts w:ascii="Arial" w:hAnsi="Arial"/>
                <w:b w:val="0"/>
                <w:sz w:val="17"/>
              </w:rPr>
              <w:t>+66.67</w:t>
            </w:r>
          </w:p>
        </w:tc>
        <w:tc>
          <w:tcPr>
            <w:tcW w:type="dxa" w:w="2160"/>
            <w:vAlign w:val="center"/>
          </w:tcPr>
          <w:p>
            <w:r/>
            <w:r>
              <w:rPr>
                <w:rFonts w:ascii="Arial" w:hAnsi="Arial"/>
                <w:b w:val="0"/>
                <w:sz w:val="17"/>
              </w:rPr>
              <w:t>Disease-specific</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D9EAF7"/>
          </w:tcPr>
          <w:p>
            <w:r/>
            <w:r>
              <w:rPr>
                <w:rFonts w:ascii="Arial" w:hAnsi="Arial"/>
                <w:b/>
                <w:sz w:val="18"/>
              </w:rPr>
              <w:t>Architecture</w:t>
            </w:r>
          </w:p>
        </w:tc>
        <w:tc>
          <w:tcPr>
            <w:tcW w:type="dxa" w:w="3168"/>
            <w:vAlign w:val="center"/>
            <w:shd w:fill="D9EAF7"/>
          </w:tcPr>
          <w:p>
            <w:r/>
            <w:r>
              <w:rPr>
                <w:rFonts w:ascii="Arial" w:hAnsi="Arial"/>
                <w:b/>
                <w:sz w:val="18"/>
              </w:rPr>
              <w:t>Average binary detection</w:t>
            </w:r>
          </w:p>
        </w:tc>
        <w:tc>
          <w:tcPr>
            <w:tcW w:type="dxa" w:w="3456"/>
            <w:vAlign w:val="center"/>
            <w:shd w:fill="D9EAF7"/>
          </w:tcPr>
          <w:p>
            <w:r/>
            <w:r>
              <w:rPr>
                <w:rFonts w:ascii="Arial" w:hAnsi="Arial"/>
                <w:b/>
                <w:sz w:val="18"/>
              </w:rPr>
              <w:t>Average disease-specific detection</w:t>
            </w:r>
          </w:p>
        </w:tc>
      </w:tr>
      <w:tr>
        <w:tc>
          <w:tcPr>
            <w:tcW w:type="dxa" w:w="3024"/>
            <w:vAlign w:val="center"/>
          </w:tcPr>
          <w:p>
            <w:r/>
            <w:r>
              <w:rPr>
                <w:rFonts w:ascii="Arial" w:hAnsi="Arial"/>
                <w:b w:val="0"/>
                <w:sz w:val="17"/>
              </w:rPr>
              <w:t>DenseNet121</w:t>
            </w:r>
          </w:p>
        </w:tc>
        <w:tc>
          <w:tcPr>
            <w:tcW w:type="dxa" w:w="3168"/>
            <w:vAlign w:val="center"/>
          </w:tcPr>
          <w:p>
            <w:r/>
            <w:r>
              <w:rPr>
                <w:rFonts w:ascii="Arial" w:hAnsi="Arial"/>
                <w:b w:val="0"/>
                <w:sz w:val="17"/>
              </w:rPr>
              <w:t>55.54%</w:t>
            </w:r>
          </w:p>
        </w:tc>
        <w:tc>
          <w:tcPr>
            <w:tcW w:type="dxa" w:w="3456"/>
            <w:vAlign w:val="center"/>
          </w:tcPr>
          <w:p>
            <w:r/>
            <w:r>
              <w:rPr>
                <w:rFonts w:ascii="Arial" w:hAnsi="Arial"/>
                <w:b w:val="0"/>
                <w:sz w:val="17"/>
              </w:rPr>
              <w:t>98.03%</w:t>
            </w:r>
          </w:p>
        </w:tc>
      </w:tr>
      <w:tr>
        <w:tc>
          <w:tcPr>
            <w:tcW w:type="dxa" w:w="3024"/>
            <w:vAlign w:val="center"/>
          </w:tcPr>
          <w:p>
            <w:r/>
            <w:r>
              <w:rPr>
                <w:rFonts w:ascii="Arial" w:hAnsi="Arial"/>
                <w:b w:val="0"/>
                <w:sz w:val="17"/>
              </w:rPr>
              <w:t>ResNet50</w:t>
            </w:r>
          </w:p>
        </w:tc>
        <w:tc>
          <w:tcPr>
            <w:tcW w:type="dxa" w:w="3168"/>
            <w:vAlign w:val="center"/>
          </w:tcPr>
          <w:p>
            <w:r/>
            <w:r>
              <w:rPr>
                <w:rFonts w:ascii="Arial" w:hAnsi="Arial"/>
                <w:b w:val="0"/>
                <w:sz w:val="17"/>
              </w:rPr>
              <w:t>45.37%</w:t>
            </w:r>
          </w:p>
        </w:tc>
        <w:tc>
          <w:tcPr>
            <w:tcW w:type="dxa" w:w="3456"/>
            <w:vAlign w:val="center"/>
          </w:tcPr>
          <w:p>
            <w:r/>
            <w:r>
              <w:rPr>
                <w:rFonts w:ascii="Arial" w:hAnsi="Arial"/>
                <w:b w:val="0"/>
                <w:sz w:val="17"/>
              </w:rPr>
              <w:t>93.09%</w:t>
            </w:r>
          </w:p>
        </w:tc>
      </w:tr>
    </w:tbl>
    <w:p/>
    <w:p>
      <w:r>
        <w:rPr>
          <w:b/>
        </w:rPr>
        <w:t xml:space="preserve">Note: </w:t>
      </w:r>
      <w:r>
        <w:t>These Step 10 results show detection of abnormality on unseen-disease images only. They do not yet demonstrate that the disease-specific approach is a better overall classifier. Because the collapsed multi-label rule has 13 opportunities to exceed the 0.5 threshold, its very high detection rates may also be associated with false-positive predictions on normal images. This must be investigated in Step 11 using specificity, confusion matrices, ROC/AUC and the other planned evaluation metrics.</w:t>
      </w:r>
    </w:p>
    <w:p>
      <w:pPr>
        <w:pStyle w:val="Heading2"/>
      </w:pPr>
      <w:r>
        <w:t>10. Key Findings So Far</w:t>
      </w:r>
    </w:p>
    <w:p>
      <w:pPr>
        <w:pStyle w:val="ListBullet"/>
      </w:pPr>
      <w:r>
        <w:t>A complete patient-level data pipeline has been implemented with no patient leakage across train, validation and test sets.</w:t>
      </w:r>
    </w:p>
    <w:p>
      <w:pPr>
        <w:pStyle w:val="ListBullet"/>
      </w:pPr>
      <w:r>
        <w:t>Strict unseen-disease datasets were created by removing every training and validation image containing the held-out disease, including multi-disease cases.</w:t>
      </w:r>
    </w:p>
    <w:p>
      <w:pPr>
        <w:pStyle w:val="ListBullet"/>
      </w:pPr>
      <w:r>
        <w:t>DenseNet121 and ResNet50 can detect some previously unseen disease images as abnormal using direct binary classification, but the detection rate varies substantially by disease.</w:t>
      </w:r>
    </w:p>
    <w:p>
      <w:pPr>
        <w:pStyle w:val="ListBullet"/>
      </w:pPr>
      <w:r>
        <w:t>In the current binary experiments, Pneumonia had the strongest unseen detection, while Atelectasis and some Pneumothorax results were considerably weaker.</w:t>
      </w:r>
    </w:p>
    <w:p>
      <w:pPr>
        <w:pStyle w:val="ListBullet"/>
      </w:pPr>
      <w:r>
        <w:t>Under the predefined 0.5 threshold and 'any known disease = abnormal' rule, the disease-specific models produced much higher unseen-disease detection rates than the direct binary models.</w:t>
      </w:r>
    </w:p>
    <w:p>
      <w:pPr>
        <w:pStyle w:val="ListBullet"/>
      </w:pPr>
      <w:r>
        <w:t>The high disease-specific detection rates require further evaluation against normal images before any conclusion is made about overall superiority.</w:t>
      </w:r>
    </w:p>
    <w:p>
      <w:pPr>
        <w:pStyle w:val="ListBullet"/>
      </w:pPr>
      <w:r>
        <w:t>Pneumonia has only 33 unseen test images in the current subset, which is an important limitation.</w:t>
      </w:r>
    </w:p>
    <w:p>
      <w:pPr>
        <w:pStyle w:val="Heading2"/>
      </w:pPr>
      <w:r>
        <w:t>11. Project Status and Next Step</w:t>
      </w:r>
    </w:p>
    <w:p>
      <w:r>
        <w:t>Steps 1 through 10 of the research implementation plan are complete. The next stage is Step 11 - Performance Evaluation. This stage will calculate Accuracy, Precision, Recall/Sensitivity, F1-score, Specificity and AUC, and will generate ROC curves and confusion matrices. This evaluation is particularly important for determining whether the high disease-specific unseen-detection rates are accompanied by a high false-positive rate.</w:t>
      </w:r>
    </w:p>
    <w:p>
      <w:pPr>
        <w:pStyle w:val="Heading2"/>
      </w:pPr>
      <w:r>
        <w:t>12. GitHub Repository and Evidence</w:t>
      </w:r>
    </w:p>
    <w:p>
      <w:r>
        <w:rPr>
          <w:b/>
        </w:rPr>
        <w:t xml:space="preserve">Repository Name: </w:t>
      </w:r>
      <w:r>
        <w:t>Deep_Learning_for_ChestXray_Generalisation</w:t>
      </w:r>
    </w:p>
    <w:p>
      <w:r>
        <w:rPr>
          <w:b/>
        </w:rPr>
        <w:t xml:space="preserve">Repository: </w:t>
      </w:r>
      <w:r>
        <w:t>github.com/Thushan14/Deep_Learning_for_ChestXray_Generalisation</w:t>
      </w:r>
    </w:p>
    <w:p>
      <w:r>
        <w:t>The repository is used for version control and to maintain the implementation history. Terminal transcripts, CSV result files, training histories, graphs and saved model checkpoints are also maintained locally as project evidence.</w:t>
      </w:r>
    </w:p>
    <w:p>
      <w:pPr>
        <w:pStyle w:val="ListBullet"/>
      </w:pPr>
      <w:r>
        <w:t>Data-processing summaries and distribution graphs.</w:t>
      </w:r>
    </w:p>
    <w:p>
      <w:pPr>
        <w:pStyle w:val="ListBullet"/>
      </w:pPr>
      <w:r>
        <w:t>Unseen-disease candidate analysis and simulated unseen datasets.</w:t>
      </w:r>
    </w:p>
    <w:p>
      <w:pPr>
        <w:pStyle w:val="ListBullet"/>
      </w:pPr>
      <w:r>
        <w:t>Step 5 model setup terminal output.</w:t>
      </w:r>
    </w:p>
    <w:p>
      <w:pPr>
        <w:pStyle w:val="ListBullet"/>
      </w:pPr>
      <w:r>
        <w:t>Step 6 training pipeline output and sample visualisation.</w:t>
      </w:r>
    </w:p>
    <w:p>
      <w:pPr>
        <w:pStyle w:val="ListBullet"/>
      </w:pPr>
      <w:r>
        <w:t>Step 7 baseline training histories and graphs.</w:t>
      </w:r>
    </w:p>
    <w:p>
      <w:pPr>
        <w:pStyle w:val="ListBullet"/>
      </w:pPr>
      <w:r>
        <w:t>Step 8 unseen-disease training histories and graphs.</w:t>
      </w:r>
    </w:p>
    <w:p>
      <w:pPr>
        <w:pStyle w:val="ListBullet"/>
      </w:pPr>
      <w:r>
        <w:t>Step 9 unseen-disease testing results.</w:t>
      </w:r>
    </w:p>
    <w:p>
      <w:pPr>
        <w:pStyle w:val="ListBullet"/>
      </w:pPr>
      <w:r>
        <w:t>Step 10 disease-specific training histories and binary-vs-disease-specific comparison CSV.</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Project Development Log | Steps 1-10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