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April 2025</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irgesundinger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30.04.2025</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30.04.2025 (slutten av April 2025) har prosjektet et opptjent verdi (EV) på 73.6 MNOK (9.2 % av BAC på 800 MNOK), med en faktisk kostnad (AC) på 73.4 MNOK og planlagt verdi (PV) på 62.5 MNOK. CPI på 1.002 viser at prosjektet er innenfor budsjett, mens SPI på 1.178 viser at prosjektet er forut for plan. Estimert sluttkost (EAC) er 798.0 MNOK, som gir en variance at completion (VAC) på +2.0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62 475 000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73 580 000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73 400 000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1.002</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1.178</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798 042 946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724 642 946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1 957 054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0 kr / Gjenværende 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0.0 uker / Gjenværende 8.0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5 080 000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5 067 573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1.002</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1.021</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19 920 000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61 158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På plan</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68 500 000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68 332 427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1.002</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1.191</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1 500 000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171 242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På plan</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Ikke startet</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Ikke startet</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NHB-IRGESUND) sammen med faktisk fremdrift pr. statusdato 30.04.2025.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30.04.2025.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Ingen vesentlige avvik registrert i perioden. Aktive risikoer overvåkes iht. risikoplan, og bruk av risikoreserve og tidsbuffer er uendret denne måneden. Tidligere registrerte hendelser følges opp iht.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Ingen vesentlige avvik registrert i perioden</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Lukket</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0.0 MNOK av godkjent 50 MNOK (0.0 %). Brukt tidsbuffer hittil: 0.0 uker av godkjent 8 uker (0.0 %). Antall hendelser med registrert respons hittil: 0 (ingen). Restrisiko vurderes som lav på dette stadiet i prosjektet.</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3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0.0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8.0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Ingen risikoer har utløst respons så langt</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S-kurven nedenfor viser kumulativ PV, EV og AC for hele prosjektforløpet (mnd 1–16), med statuslinje ved mnd 3 (April 2025). Prosjektet er 9.2 % fullført målt i opptjent verdi. CPI på 1.002 indikerer innenfor budsjett, og SPI på 1.178 indikerer at prosjektet er forut for plan. Den høye SPI tidlig i prosjektet skyldes at detaljprosjektering (2.1) ble fullført raskere enn lineær fordeling tilsier — en planlagt frontlasting av planleggingsfasen.</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65900"/>
            <wp:docPr id="1" name="Picture 1"/>
            <wp:cNvGraphicFramePr>
              <a:graphicFrameLocks noChangeAspect="1"/>
            </wp:cNvGraphicFramePr>
            <a:graphic>
              <a:graphicData uri="http://schemas.openxmlformats.org/drawingml/2006/picture">
                <pic:pic>
                  <pic:nvPicPr>
                    <pic:cNvPr id="0" name="s_kurve_mnd_03.png"/>
                    <pic:cNvPicPr/>
                  </pic:nvPicPr>
                  <pic:blipFill>
                    <a:blip r:embed="rId16"/>
                    <a:stretch>
                      <a:fillRect/>
                    </a:stretch>
                  </pic:blipFill>
                  <pic:spPr>
                    <a:xfrm>
                      <a:off x="0" y="0"/>
                      <a:ext cx="5760000" cy="2865900"/>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3.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52 210 000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52 100 000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1.254</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73 580 000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1.178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April 2025 — Mnd 3/16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