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Juni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30.06.2025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30.06.2025 (slutten av Juni 2025) har prosjektet et opptjent verdi (EV) på 120.2 MNOK (15.0 % av BAC på 800 MNOK), med en faktisk kostnad (AC) på 120.1 MNOK og planlagt verdi (PV) på 121.6 MNOK. CPI på 1.001 viser at prosjektet er innenfor budsjett, mens SPI på 0.988 viser at prosjektet er marginalt bak plan (innenfor toleranse). Estimert sluttkost (EAC) er 799.2 MNOK, som gir en variance at completion (VAC) på +0.8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121 625 000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120 220 000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120 100 000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1.001</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0.988</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799 201 464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679 101 464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798 536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8 620 000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8 611 396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1.040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16 380 000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24 954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69 930 128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69 872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41 600 000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41 558 476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1.001</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0.960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28 400 000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69 872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På plan</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Ikke startet</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30.06.2025.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30.06.2025.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0.0 uker av godkjent 8 uker (0.0 %). Antall hendelser med registrert respons hittil: 1 (R-05).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2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5 (Juni 2025). Prosjektet er 15.0 % fullført målt i opptjent verdi. CPI på 1.001 indikerer innenfor budsjett, og SPI på 0.988 indikerer at prosjektet er marginalt bak plan (innenfor toleranse).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5.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5.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Juni 2025 — Mnd 5/16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