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August 2025</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irgesundinger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31.08.2025</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31.08.2025 (slutten av August 2025) har prosjektet et opptjent verdi (EV) på 216.8 MNOK (27.1 % av BAC på 800 MNOK), med en faktisk kostnad (AC) på 216.1 MNOK og planlagt verdi (PV) på 214.1 MNOK. CPI på 1.003 viser at prosjektet er innenfor budsjett, mens SPI på 1.013 viser at prosjektet er iht. plan. Estimert sluttkost (EAC) er 797.3 MNOK, som gir en variance at completion (VAC) på +2.7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214 108 333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216 820 000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216 100 000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1.003</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1.013</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797 343 419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581 243 419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2 656 581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6 000 000 kr / Gjenværende 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0.0 uker / Gjenværende 8.0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12 110 000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12 069 786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1.003</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1.043</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12 890 000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83 018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69 767 549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1.003</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232 451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69 767 549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1.003</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232 451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Ferdig</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48 000 000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47 840 605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1.003</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312 000 000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1 195 462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På plan</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16 710 000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16 654 511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1.003</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1.152</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8 290 000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83 018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På plan</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NHB-IRGESUND) sammen med faktisk fremdrift pr. statusdato 31.08.2025.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31.08.2025.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6.0 MNOK av godkjent 50 MNOK (12.0 %). Brukt tidsbuffer hittil: 0.0 uker av godkjent 8 uker (0.0 %). Antall hendelser med registrert respons hittil: 1 (R-05).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6 000 000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2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0.0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8.0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 xml:space="preserve">S-kurven nedenfor viser kumulativ PV, EV og AC for hele prosjektforløpet (mnd 1–16), med statuslinje ved mnd 7 (August 2025). Prosjektet er 27.1 % fullført målt i opptjent verdi. CPI på 1.003 indikerer innenfor budsjett, og SPI på 1.013 indikerer at prosjektet er iht. plan. </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07.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7.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149 540 000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149 400 000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1.095</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216 820 000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216 100 000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1.003</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1.013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August 2025 — Mnd 7/16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