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8"/>
          <w:sz w:val="48"/>
        </w:rPr>
        <w:t>PROSJEKTETS SLUTTRAPPORT</w:t>
      </w:r>
    </w:p>
    <w:p>
      <w:pPr>
        <w:spacing w:before="120" w:after="360"/>
      </w:pPr>
      <w:r>
        <w:rPr>
          <w:color w:val="5A5A5A"/>
          <w:sz w:val="24"/>
        </w:rPr>
        <w:t>for</w:t>
      </w:r>
    </w:p>
    <w:p>
      <w:r>
        <w:rPr>
          <w:rFonts w:ascii="Calibri" w:hAnsi="Calibri"/>
          <w:b/>
          <w:color w:val="222222"/>
          <w:sz w:val="38"/>
        </w:rPr>
        <w:t>Nye Hædda barneskole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r>
              <w:t>Dato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15. mai 2026</w:t>
            </w:r>
          </w:p>
        </w:tc>
      </w:tr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r>
              <w:t>Versjon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1.0 — endelig sluttrapport</w:t>
            </w:r>
          </w:p>
        </w:tc>
      </w:tr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r>
              <w:t>Forfatter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Gustavo A Holmedal — Gruppe 4.5</w:t>
            </w:r>
          </w:p>
        </w:tc>
      </w:tr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r>
              <w:t>Status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FERDIG</w:t>
            </w:r>
          </w:p>
        </w:tc>
      </w:tr>
    </w:tbl>
    <w:p/>
    <w:p>
      <w:pPr>
        <w:spacing w:before="360"/>
      </w:pPr>
      <w:r>
        <w:rPr>
          <w:b/>
          <w:color w:val="1F4E78"/>
          <w:sz w:val="22"/>
        </w:rPr>
        <w:t>Formål</w:t>
      </w:r>
    </w:p>
    <w:p>
      <w:pPr>
        <w:spacing w:after="120"/>
      </w:pPr>
      <w:r>
        <w:t>Denne rapporten oppsummerer prosjektets sluttstatus, leveranser, resultater, læringspunkter og anbefalte videre tiltak.</w:t>
      </w:r>
    </w:p>
    <w:p>
      <w:r>
        <w:br w:type="page"/>
      </w:r>
    </w:p>
    <w:p>
      <w:pPr>
        <w:pStyle w:val="Heading1"/>
      </w:pPr>
      <w:r>
        <w:t>Innhold</w:t>
      </w:r>
    </w:p>
    <w:p>
      <w:fldSimple w:instr="TOC \o &quot;1-3&quot; \h \z \u">
        <w:r>
          <w:t>Oppdater innholdsfortegnelsen i Word (høyreklikk -&gt; Oppdater felt).</w:t>
        </w:r>
      </w:fldSimple>
    </w:p>
    <w:p>
      <w:pPr>
        <w:pStyle w:val="Heading1"/>
      </w:pPr>
      <w:r>
        <w:t>1. Sammendrag</w:t>
      </w:r>
    </w:p>
    <w:p>
      <w:pPr>
        <w:spacing w:after="120"/>
      </w:pPr>
      <w:r>
        <w:t>Dette dokumentet beskriver sluttstatus for prosjekt Nye Hædda barneskole og gir anbefalinger for videre oppfølging.</w:t>
      </w:r>
    </w:p>
    <w:p>
      <w:pPr>
        <w:spacing w:after="120"/>
      </w:pPr>
      <w:r>
        <w:t>Prosjektet handlet om bygging av en ny barneskole for Hædda kommune dimensjonert for 600 elever (1.–10. trinn) og 100 ansatte (60 faglige + 15 administrasjon + 25 drift), innenfor en kostnadsramme på 700 mill kr og med ferdigstillelse 15. mai 2026 (3 mnd buffer før skolestart august). Detaljer i Prosjektforslag og Konseptløsning (vedlegg fase 1). Vurderingsmål: A-nivå (90–100 poeng) etter sensorveiledning.</w:t>
      </w:r>
    </w:p>
    <w:p>
      <w:pPr>
        <w:pStyle w:val="Heading1"/>
      </w:pPr>
      <w:r>
        <w:t>2. Resultater</w:t>
      </w:r>
    </w:p>
    <w:p>
      <w:pPr>
        <w:spacing w:after="120"/>
      </w:pPr>
      <w:r>
        <w:t>Prosjektets resultater innen omfang, fremdrift, budsjett og risiko er beskrevet nedenfor.</w:t>
      </w:r>
    </w:p>
    <w:p>
      <w:pPr>
        <w:pStyle w:val="Heading2"/>
      </w:pPr>
      <w:r>
        <w:t>2.1 Omfang</w:t>
      </w:r>
    </w:p>
    <w:p>
      <w:pPr>
        <w:spacing w:after="120"/>
      </w:pPr>
      <w:r>
        <w:t>Endelig levert omfang dekker hele kravspesifikasjonens 59 krav fordelt på 9 kategorier (funksjonelt, teknisk, miljø, sikkerhet, uteområde, akustikk, universell utforming, kvalitet, drift/FDV).</w:t>
      </w:r>
    </w:p>
    <w:p>
      <w:pPr>
        <w:spacing w:after="120"/>
      </w:pPr>
      <w:r>
        <w:t>Bygget er levert i tre etasjer med grunnflate 4 608 m² og et bruttoareal på ca. 13 824 m² (godt innenfor makskravet på 14 000 m²). Sentrale fellesfunksjoner som kantine (1. etg), bibliotek og auditorium (2. etg), gymsal (900 m²), drift- og personalareal er etablert iht. konseptløsningen. WBS-strukturen (116 leveranser i 4 nivåer) er fulgt og fullstendig levert. Crashing av 4.1 Råbygg (NHB-IRGESUND) endret tid og kostnad, men ikke scope. DSB-veileder (CR-001) ga marginal scope-utvidelse på 5.1 VVS (oppgradert sprinklerdekning og rømningsskilting) — kompensert innenfor risikoreserve</w:t>
      </w:r>
    </w:p>
    <w:p>
      <w:pPr>
        <w:pStyle w:val="Heading2"/>
      </w:pPr>
      <w:r>
        <w:t>2.2 Fremdrift</w:t>
      </w:r>
    </w:p>
    <w:p>
      <w:pPr>
        <w:spacing w:after="120"/>
      </w:pPr>
      <w:r>
        <w:t>Endelig ferdigstillelse 15. mai 2026. Planlagt sluttdato etter crashing-justering: 15. mai 2026 (jf. Prosjektforslag kap. 4.3 og endringsdokument CR-001).</w:t>
      </w:r>
    </w:p>
    <w:p>
      <w:pPr>
        <w:spacing w:after="120"/>
      </w:pPr>
      <w:r>
        <w:t>Prosjektets opprinnelige tidsplan (Baseline 0, basert på Bårds simulering) ga sluttdato i juli 2026 — ca. 6 uker over den harde fristen 15. mai 2026. Etter schedule crashing av 4.1 Råbygg (jf. CR-001) ble Baseline 1 etablert med sluttdato innenfor frist. Faktisk fremdrift målt mot Baseline 1 viser SPI=1.000 ved prosjektslutt (på prikken iht. plan). Prosjektet var marginalt forut for plan i tidlige måneder (mnd 1–3 SPI≈1,17–1,25) på grunn av rask fullføring av detaljprosjektering, og holdt SPI rundt 1,0 gjennom råbygg- og innvendigfasen. Tidsbuffer brukt: 1,5 uker av godkjent 8 uker (R-07 brann hos vindusprodusent i mnd 11). Månedsrapportene gir detaljert fremdriftsanalyse pr. periode.</w:t>
      </w:r>
    </w:p>
    <w:p>
      <w:pPr>
        <w:pStyle w:val="Heading2"/>
      </w:pPr>
      <w:r>
        <w:t>2.3 Budsjett</w:t>
      </w:r>
    </w:p>
    <w:p>
      <w:pPr>
        <w:spacing w:after="120"/>
      </w:pPr>
      <w:r>
        <w:t>Endelig påløpt kostnad var 800 mill kr. Opprinnelig kostnadsramme: 700 mill kr inkl. 50 mill usikkerhetsavsetning. Ekstrakostnad fra crashing: 50 mill kr (komprimering av 4.1 Råbygg). Bruk av risikobudsjett: 11 mill kr av 50 mill kr.</w:t>
      </w:r>
    </w:p>
    <w:p>
      <w:pPr>
        <w:spacing w:after="120"/>
      </w:pPr>
      <w:r>
        <w:t>Bårds simulerte estimater ga totalkostnad ca. 750 mill kr (50 mill over rammen) — dette var bevisst lagt inn i oppgaven som læringscase. Crashing-tiltaket økte kostnadene ytterligere mot å spare ca. 6 uker. Endelig CPI ved prosjektslutt: 1.000. Vesentlige avvik forklart i månedsrapportene og endringsdokument CR-001.</w:t>
      </w:r>
    </w:p>
    <w:p>
      <w:pPr>
        <w:pStyle w:val="Heading2"/>
      </w:pPr>
      <w:r>
        <w:t>2.4 Risiko</w:t>
      </w:r>
    </w:p>
    <w:p>
      <w:pPr>
        <w:spacing w:after="120"/>
      </w:pPr>
      <w:r>
        <w:t>Risikostatus ved avslutning: 16 risikoer registrert (15 spesifikke + 1 generell uspesifisert avsetning). Restrisiko etter tiltak: 0 kritiske, 0 høye, 6 middels, 10 lave.</w:t>
      </w:r>
    </w:p>
    <w:p>
      <w:pPr>
        <w:spacing w:after="120"/>
      </w:pPr>
      <w:r>
        <w:t>Av identifiserte risikoer ble 3 realisert og håndtert via avsatt risikobudsjett. Total bruk av risikobudsjett: 1.5 uker / 11 mill kr av 8 uker / 50 mill kr. Mest betydelige hendelse: R-06 (regulatorisk endring DSB sprinkler/rømning, mnd 13, +5 mill kr) — håndtert som endringsforespørsel CR-001. R-05 (forurenset masse under 3.2 Riving, mnd 4, +6 mill kr fra risikoreserve) og R-07 (brann hos vindusprodusent, mnd 11, +1,5 uker fra tidsbuffer) er de andre realiserte hendelsene. Risikoregisteret ble vedlikeholdt løpende gjennom månedsrapportene.</w:t>
      </w:r>
    </w:p>
    <w:p>
      <w:pPr>
        <w:pStyle w:val="Heading1"/>
      </w:pPr>
      <w:r>
        <w:t>3. Status for business case / gevinstrealisering</w:t>
      </w:r>
    </w:p>
    <w:p>
      <w:pPr>
        <w:spacing w:after="120"/>
      </w:pPr>
      <w:r>
        <w:t>Status for business case og forventet gevinstrealisering ved prosjektslutt er som følger:</w:t>
      </w:r>
    </w:p>
    <w:p>
      <w:pPr>
        <w:spacing w:after="120"/>
      </w:pPr>
      <w:r>
        <w:t>Prosjektforslagets business case (kap. 6.5) anslo netto nåverdi (NNV) på +109,2 mill kr over 60 år ved 1 % realrente, BCR 1,16 og ROI 15,6 %. Effektmålene var (a) 30 % reduksjon i driftskostnader per elev (anslått besparelse ca. 18 mill kr/år) og (b) 20 % økning i programareal per elev. Disse målene er forankret i den leverte løsningen (BREEAM Very Good, balansert ventilasjon med varmegjenvinning, energiforbruk ≤ 75 kWh/m²/år), men endelig realisering måles først 12–24 mnd etter ibruktagelse — anbefales fulgt opp i driftsfasen.</w:t>
      </w:r>
    </w:p>
    <w:p>
      <w:pPr>
        <w:pStyle w:val="Heading1"/>
      </w:pPr>
      <w:r>
        <w:t>4. Erfaringer og læringspunkter</w:t>
      </w:r>
    </w:p>
    <w:p>
      <w:pPr>
        <w:spacing w:after="120"/>
      </w:pPr>
      <w:r>
        <w:t>De viktigste erfaringene og læringspunktene var:</w:t>
      </w:r>
    </w:p>
    <w:p>
      <w:pPr>
        <w:spacing w:after="120"/>
      </w:pPr>
      <w:r>
        <w:t>De viktigste læringspunktene fra prosjektet er:</w:t>
        <w:br/>
        <w:br/>
        <w:t>1) Endringsstyring i praksis: Schedule crashing-saken (CR-001) ga oss et konkret eksempel på hvordan en formell endringsforespørsel går fra identifisert problem (overskridelse av tids- og kostnadsramme) → konsekvensanalyse → leverandørdialog → eier-godkjenning → ny baseline. Læring: dokumenter alltid endringer formelt — det er forskjellen mellom 'vi gjorde noen justeringer' og 'vi har en sporbar beslutningskjede'.</w:t>
        <w:br/>
        <w:br/>
        <w:t>2) Baseline-disiplin i MS Project: Å bevare Baseline 0 (opprinnelig plan før crashing) parallelt med Baseline 1 (godkjent etter crashing) ga oss mulighet til å vise hele endringshistorikken i sluttrapporten. Uten denne disiplinen ville vi mistet 'før'-tilstanden.</w:t>
        <w:br/>
        <w:br/>
        <w:t>3) Sporbarhet på tvers av dokumenter: Ved å bygge eksplisitt sporbarhet (kravspec → WBS → risikoregister → Gantt → månedsrapport) fikk hele besvarelsen en rød tråd. Dette ble viktigere enn omfang.</w:t>
        <w:br/>
        <w:br/>
        <w:t>4) Earned value-analyse som styringsverktøy: CPI og SPI ga objektiv status pr. måned, uavhengig av subjektive vurderinger av 'hvor langt vi er kommet'. EVM-arbeidsboken ble en sentral del av månedsrapporteringen.</w:t>
      </w:r>
    </w:p>
    <w:p>
      <w:pPr>
        <w:pStyle w:val="Heading1"/>
      </w:pPr>
      <w:r>
        <w:t>5. Anbefalinger</w:t>
      </w:r>
    </w:p>
    <w:p>
      <w:pPr>
        <w:spacing w:after="120"/>
      </w:pPr>
      <w:r>
        <w:t>Følgende anbefalinger gis for videre oppfølging og for fremtidige prosjekter av lignende type:</w:t>
      </w:r>
    </w:p>
    <w:p>
      <w:pPr>
        <w:spacing w:after="120"/>
      </w:pPr>
      <w:r>
        <w:t>1) Gevinstrealisering bør måles 12–24 mnd etter ibruktagelse — anbefales fulgt opp av driftsorganisasjonen mot business case (NNV +109 mill kr, BCR 1,16). 2) FDV-dokumentasjon (5.5 IKT-sikkerhet, 5.4 SD-anlegg) bør gjennomgås årlig de første tre årene for å sikre at oppdaterte sprinkler-/rømningsløsninger (CR-001) fortsatt etterleves. 3) Læringspunkter fra schedule crashing-prosessen (NHB-IRGESUND) tas inn i kommunens prosjektmal som case-eksempel for endringsstyring. 4) Brukeropplæring (8.4) bør repeteres etter 6 mnd drift for å sikre at drift- og personalstaben behersker SD-anlegg og adgangskontroll.</w:t>
      </w:r>
    </w:p>
    <w:p>
      <w:pPr>
        <w:pStyle w:val="Heading1"/>
      </w:pPr>
      <w:r>
        <w:t>Vedlegg / støttende informasjon</w:t>
      </w:r>
    </w:p>
    <w:p>
      <w:pPr>
        <w:spacing w:after="120"/>
      </w:pPr>
      <w:r>
        <w:t>Vedlegg som støtter sluttrapporten:</w:t>
        <w:br/>
        <w:t>• Prosjektforslag og Konseptløsning (fase 1, vedlegg)</w:t>
        <w:br/>
        <w:t>• Komplett prosjektplan med kravspesifikasjon, WBS, presedensdiagram, Gantt og risikoregister (fase 2)</w:t>
        <w:br/>
        <w:t>• Endringsdokument CR-001 — Schedule crashing</w:t>
        <w:br/>
        <w:t>• Månedsrapporter for fase 3 (med S-kurve, KPI-er, EVM)</w:t>
        <w:br/>
        <w:t>• MS Project-fil (Baseline 0 + Baseline 1)</w:t>
        <w:br/>
        <w:t>• Problemliste</w:t>
        <w:br/>
        <w:t>• Bårds simulerte WBS (kildemateriale)</w:t>
      </w:r>
    </w:p>
    <w:p>
      <w:pPr>
        <w:spacing w:after="120"/>
      </w:pPr>
      <w:r>
        <w:t>Hvert vedlegg har egen filplassering og er referert i tilhørende kapittel.</w:t>
      </w:r>
    </w:p>
    <w:p>
      <w:r>
        <w:br w:type="page"/>
      </w:r>
    </w:p>
    <w:p>
      <w:pPr>
        <w:pStyle w:val="Heading1"/>
      </w:pPr>
      <w:r>
        <w:t>6. Oppsummeringstabell</w:t>
      </w:r>
    </w:p>
    <w:p>
      <w:r>
        <w:t>Tabellen nedenfor kan brukes til å oppsummere prosjektets sluttstatus på en konsis måte.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Tema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Planlagt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Faktisk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Kommentar / avvik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Omfang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59 krav, 116 WBS-leveranser i 4 nivåer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59 krav levert, 32 arbeidspakker × 100 %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Crashing endret ikke scope. CR-001 ga marginal utvidelse på 5.1 VVS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Tid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Ferdig 15. mai 2026 (Prosjektforslag kap. 4.3)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15. mai 2026 (på datoen)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Levert innen frist. 1,5 uker tidsbuffer brukt (av 8)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Kost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700 mill kr inkl. 50 mill risikoavsetning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800 mill kr (BAC = 800)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Rammeutvidelse 700→800 mill kr (NHB-IRGESUND). 11 mill kr risikoreserve brukt (22 %)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Kvalitet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0 kritiske mangler ved BP3 (kravspec K-001)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0 kritiske mangler, FDV-dokumentasjon levert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r>
              <w:t>Brukstillatelse innvilget. K-001 og K-002 oppfylt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  <w:r>
      <w:t xml:space="preserve"> / </w:t>
    </w:r>
    <w:fldSimple w:instr="NUMPAGES">
      <w: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1F4E78"/>
        <w:sz w:val="18"/>
      </w:rPr>
      <w:t>Prosjektets sluttrapport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dHeader">
    <w:name w:val="Band Header"/>
    <w:rPr>
      <w:rFonts w:ascii="Calibri" w:hAnsi="Calibri" w:eastAsia="Calibri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