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Mars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31.03.2025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31.03.2025 (slutten av Mars 2025) har prosjektet et opptjent verdi (EV) på 52.2 MNOK (6.5 % av BAC på 800 MNOK), med en faktisk kostnad (AC) på 52.1 MNOK og planlagt verdi (PV) på 41.6 MNOK. CPI på 1.002 viser at prosjektet er innenfor budsjett, mens SPI på 1.254 viser at prosjektet er forut for plan. Estimert sluttkost (EAC) er 798.3 MNOK, som gir en variance at completion (VAC) på +1.7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41 650 000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52 210 000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52 100 000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1.002</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1.254</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798 314 499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746 214 499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1 685 501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0 kr / Gjenværende 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3 330 000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3 322 984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1.004</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21 670 000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52 672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48 880 000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48 777 016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1.275</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21 120 000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147 481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På plan</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Ikke startet</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Ikke startet</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31.03.2025.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31.03.2025.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0.0 MNOK av godkjent 50 MNOK (0.0 %). Brukt tidsbuffer hittil: 0.0 uker av godkjent 8 uker (0.0 %). Antall hendelser med registrert respons hittil: 0 (ingen). Restrisiko vurderes som lav på dette stadiet i prosjektet.</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3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Ingen risikoer har utløst respons så langt</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S-kurven nedenfor viser kumulativ PV, EV og AC for hele prosjektforløpet (mnd 1–16), med statuslinje ved mnd 2 (Mars 2025). Prosjektet er 6.5 % fullført målt i opptjent verdi. CPI på 1.002 indikerer innenfor budsjett, og SPI på 1.254 indikerer at prosjektet er forut for plan. Den høye SPI tidlig i prosjektet skyldes at detaljprosjektering (2.1) ble fullført raskere enn lineær fordeling tilsier — en planlagt frontlasting av planleggingsfasen.</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2.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2.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Mars 2025 — Mnd 2/16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