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April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30.04.2025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30.04.2025 (slutten av April 2025) har prosjektet et opptjent verdi (EV) på 73.6 MNOK (9.2 % av BAC på 800 MNOK), med en faktisk kostnad (AC) på 73.4 MNOK og planlagt verdi (PV) på 62.5 MNOK. CPI på 1.002 viser at prosjektet er innenfor budsjett, mens SPI på 1.178 viser at prosjektet er forut for plan. Estimert sluttkost (EAC) er 798.0 MNOK, som gir en variance at completion (VAC) på +2.0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62 475 000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73 580 000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73 400 000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1.002</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1.178</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798 042 946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724 642 946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1 957 054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0 kr / Gjenværende 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5 080 000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5 067 573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1.021</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19 920 000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61 158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68 500 000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68 332 427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1.002</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1.191</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1 500 000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171 242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På plan</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Ikke startet</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30.04.2025.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30.04.2025.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0.0 MNOK av godkjent 50 MNOK (0.0 %). Brukt tidsbuffer hittil: 0.0 uker av godkjent 8 uker (0.0 %). Antall hendelser med registrert respons hittil: 0 (ingen). Restrisiko vurderes som lav på dette stadiet i prosjektet.</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3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Ingen risikoer har utløst respons så langt</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3 (April 2025). Prosjektet er 9.2 % fullført målt i opptjent verdi. CPI på 1.002 indikerer innenfor budsjett, og SPI på 1.178 indikerer at prosjektet er forut for plan. Den høye SPI tidlig i prosjektet skyldes at detaljprosjektering (2.1) ble fullført raskere enn lineær fordeling tilsier — en planlagt frontlasting av planleggingsfasen.</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3.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3.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April 2025 — Mnd 3/16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