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Juni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Gruppe 4.5</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30.06.2025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30.06.2025 (slutten av Juni 2025) har prosjektet et opptjent verdi (EV) på 120.2 MNOK (15.0 % av BAC på 800 MNOK), med en faktisk kostnad (AC) på 120.1 MNOK og planlagt verdi (PV) på 121.6 MNOK. CPI på 1.001 viser at prosjektet er innenfor budsjett, mens SPI på 0.988 viser at prosjektet er marginalt bak plan (innenfor toleranse). Estimert sluttkost (EAC) er 799.2 MNOK, som gir en variance at completion (VAC) på +0.8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121 625 000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120 220 000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120 100 000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1.001</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0.988</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799 201 464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679 101 464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798 536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6 000 000 kr / Gjenværende 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8 620 000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8 611 396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1.040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16 380 000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24 954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69 930 128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69 872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41 600 000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41 558 476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1.001</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0.960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28 400 000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69 872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På plan</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Ikke startet</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NHB-2026-15) sammen med faktisk fremdrift pr. statusdato 30.06.2025.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30.06.2025.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6.0 MNOK av godkjent 50 MNOK (12.0 %). Brukt tidsbuffer hittil: 0.0 uker av godkjent 8 uker (0.0 %). Antall hendelser med registrert respons hittil: 1 (R-05).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6 000 000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2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5 (Juni 2025). Prosjektet er 15.0 % fullført målt i opptjent verdi. CPI på 1.001 indikerer innenfor budsjett, og SPI på 0.988 indikerer at prosjektet er marginalt bak plan (innenfor toleranse).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05.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5.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Juni 2025 — Mnd 5/16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