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September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30.09.2025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30.09.2025 (slutten av September 2025) har prosjektet et opptjent verdi (EV) på 272.4 MNOK (34.1 % av BAC på 800 MNOK), med en faktisk kostnad (AC) på 273.6 MNOK og planlagt verdi (PV) på 274.3 MNOK. CPI på 0.996 viser at prosjektet er marginalt over budsjett (akseptabelt), mens SPI på 0.993 viser at prosjektet er marginalt bak plan (innenfor toleranse). Estimert sluttkost (EAC) er 803.4 MNOK, som gir en variance at completion (VAC) på -3.4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274 266 667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272 450 000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273 600 000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0.996</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0.993</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803 376 766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529 776 766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-3 376 766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13 850 000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13 908 460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1.044</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11 150 000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-105 524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70 295 467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-295 467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70 295 467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-295 467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93 600 000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93 995 082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0.975</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266 400 000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-1 519 545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25 105 524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0.996</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-105 524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30.09.2025.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30.09.2025.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8 (September 2025). Prosjektet er 34.1 % fullført målt i opptjent verdi. CPI på 0.996 indikerer marginalt over budsjett (akseptabelt), og SPI på 0.993 indikerer at prosjektet er marginalt bak plan (innenfor toleranse).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8.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8.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September 2025 — Mnd 8/16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