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November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30.11.2025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30.11.2025 (slutten av November 2025) har prosjektet et opptjent verdi (EV) på 374.3 MNOK (46.8 % av BAC på 800 MNOK), med en faktisk kostnad (AC) på 373.4 MNOK og planlagt verdi (PV) på 373.6 MNOK. CPI på 1.002 viser at prosjektet er innenfor budsjett, mens SPI på 1.002 viser at prosjektet er iht. plan. Estimert sluttkost (EAC) er 798.1 MNOK, som gir en variance at completion (VAC) på +1.9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373 583 333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374 280 000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373 400 000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1.002</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1.002</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798 119 055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424 719 055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1 880 945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17 280 000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17 239 372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1.042</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7 720 000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58 780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69 835 417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164 583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69 835 417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164 583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192 000 000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191 548 573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168 000 000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846 425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På plan</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24 941 220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58 780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30.11.2025.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30.11.2025.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0.0 uker av godkjent 8 uker (0.0 %). Antall hendelser med registrert respons hittil: 1 (R-05).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2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10 (November 2025). Prosjektet er 46.8 % fullført målt i opptjent verdi. CPI på 1.002 indikerer innenfor budsjett, og SPI på 1.002 indikerer at prosjektet er iht. plan.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10.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10.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374 280 000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November 2025 — Mnd 10/16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