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widowControl/>
        <w:spacing w:line="580" w:lineRule="exact"/>
      </w:pPr>
      <w:r>
        <w:rPr>
          <w:rFonts w:ascii="Noto Sans CJK SC" w:hAnsi="Noto Sans CJK SC" w:eastAsia="Noto Sans CJK SC"/>
        </w:rPr>
        <w:t>潮汐邮局体素作品项目资料</w:t>
      </w:r>
    </w:p>
    <w:p>
      <w:pPr>
        <w:pStyle w:val="Subtitle"/>
        <w:widowControl/>
        <w:spacing w:line="300" w:lineRule="exact"/>
      </w:pPr>
      <w:r>
        <w:rPr>
          <w:rFonts w:ascii="Noto Sans CJK SC" w:hAnsi="Noto Sans CJK SC" w:eastAsia="Noto Sans CJK SC"/>
        </w:rPr>
        <w:t>项目资料记录　原状态截至2026-10-05 17:56 UTC+8</w:t>
        <w:br/>
        <w:t>文字与排版修订：2026-10-07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原创体素场景 The Tidal Post 已交付。用户觉得作品可爱、精细，但惊喜感低于最初期待，随后接受现有版本并结束这一轮修改。以下记录该版本的成果与限制。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目标与构图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场景设在蓝调傍晚的海上小岛。右侧是方形收分灯塔，左侧是珊瑚色阶梯屋顶邮局，崖边折返楼梯向下连接码头与邮船。灯塔和窗内的暖光映衬青绿色海水，另有少量植物、包裹、邮筒和邮差作为场景细节。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交付与验证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交付包含1800×1800主图和完整源文件包。场景有64个可移植网格、30种材质；已检查正反两面，补齐山体与屋顶封口，并增加灯塔入口。源包保留 .blend、GLB、离线HTML查看器、生成脚本、来源说明和许可，文件与模型完整性检查已通过。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参考资料与访问程度</w:t>
      </w:r>
    </w:p>
    <w:p>
      <w:pPr>
        <w:widowControl/>
        <w:spacing w:line="308" w:lineRule="exact" w:after="120"/>
      </w:pPr>
      <w:hyperlink r:id="rId10">
        <w:r>
          <w:rPr>
            <w:color w:val="175A8A"/>
            <w:u w:val="single"/>
          </w:rPr>
          <w:t>MagicaVoxel 官方网站</w:t>
        </w:r>
      </w:hyperlink>
      <w:r>
        <w:rPr>
          <w:rFonts w:ascii="Noto Sans CJK SC" w:hAnsi="Noto Sans CJK SC" w:eastAsia="Noto Sans CJK SC"/>
        </w:rPr>
        <w:t>：已读取入口页面，了解体素创作工具与表现。</w:t>
      </w:r>
    </w:p>
    <w:p>
      <w:pPr>
        <w:widowControl/>
        <w:spacing w:line="308" w:lineRule="exact" w:after="120"/>
      </w:pPr>
      <w:hyperlink r:id="rId11">
        <w:r>
          <w:rPr>
            <w:color w:val="175A8A"/>
            <w:u w:val="single"/>
          </w:rPr>
          <w:t>Voxelmade 体素作品页面</w:t>
        </w:r>
      </w:hyperlink>
      <w:r>
        <w:rPr>
          <w:rFonts w:ascii="Noto Sans CJK SC" w:hAnsi="Noto Sans CJK SC" w:eastAsia="Noto Sans CJK SC"/>
        </w:rPr>
        <w:t>：已读页面并查看 Lisbon by night 图片，用于夜景灯光与体素场景参考。</w:t>
      </w:r>
    </w:p>
    <w:p>
      <w:pPr>
        <w:widowControl/>
        <w:spacing w:line="308" w:lineRule="exact" w:after="120"/>
      </w:pPr>
      <w:hyperlink r:id="rId12">
        <w:r>
          <w:rPr>
            <w:color w:val="175A8A"/>
            <w:u w:val="single"/>
          </w:rPr>
          <w:t>Cédric Chase 的 Voxel Home</w:t>
        </w:r>
      </w:hyperlink>
      <w:r>
        <w:rPr>
          <w:rFonts w:ascii="Noto Sans CJK SC" w:hAnsi="Noto Sans CJK SC" w:eastAsia="Noto Sans CJK SC"/>
        </w:rPr>
        <w:t>：读过页面文字，参考了立方体家具细节与照明描述，未逐图分析。</w:t>
      </w:r>
    </w:p>
    <w:p>
      <w:pPr>
        <w:widowControl/>
        <w:spacing w:line="308" w:lineRule="exact" w:after="120"/>
      </w:pPr>
      <w:hyperlink r:id="rId13">
        <w:r>
          <w:rPr>
            <w:color w:val="175A8A"/>
            <w:u w:val="single"/>
          </w:rPr>
          <w:t>Blender AgX 官方说明</w:t>
        </w:r>
      </w:hyperlink>
      <w:r>
        <w:rPr>
          <w:rFonts w:ascii="Noto Sans CJK SC" w:hAnsi="Noto Sans CJK SC" w:eastAsia="Noto Sans CJK SC"/>
        </w:rPr>
        <w:t>：仅核对搜索摘要；完整页面未能打开。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构图和几何由本项目制作，未复制第三方模型或纹理。离线HTML内嵌模型与Three.js，提供拖动、缩放、复位和自动环绕控件，但浏览器交互兼容性尚未验证。这次交付不含公开站点或转台视频。</w:t>
      </w:r>
    </w:p>
    <w:p>
      <w:pPr>
        <w:pStyle w:val="Heading1"/>
        <w:keepNext/>
        <w:widowControl/>
        <w:spacing w:line="380" w:lineRule="exact" w:before="220" w:after="100"/>
      </w:pPr>
      <w:r>
        <w:rPr>
          <w:rFonts w:ascii="Noto Sans CJK SC" w:hAnsi="Noto Sans CJK SC" w:eastAsia="Noto Sans CJK SC"/>
        </w:rPr>
        <w:t>交付后的状态</w:t>
      </w:r>
    </w:p>
    <w:p>
      <w:pPr>
        <w:widowControl/>
        <w:spacing w:line="308" w:lineRule="exact" w:after="120"/>
      </w:pPr>
      <w:r>
        <w:rPr>
          <w:rFonts w:ascii="Noto Sans CJK SC" w:hAnsi="Noto Sans CJK SC" w:eastAsia="Noto Sans CJK SC"/>
        </w:rPr>
        <w:t>主图和源包于2026-10-05 17:37 UTC+8交付。用户随后表示“就这样吧”“很好了”，本轮因此结束，仅保留成果和资料。这次文稿修订不启动场景的追加修改。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项目资料记录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8" w:lineRule="auto" w:after="100"/>
    </w:pPr>
    <w:rPr>
      <w:rFonts w:ascii="Noto Sans CJK SC" w:hAnsi="Noto Sans CJK SC" w:eastAsia="Noto Sans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Noto Sans CJK SC" w:hAnsi="Noto Sans CJK SC" w:eastAsia="Noto Sans CJK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ans CJK SC" w:hAnsi="Noto Sans CJK SC" w:eastAsia="Noto Sans CJK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Noto Sans CJK SC" w:hAnsi="Noto Sans CJK SC" w:eastAsia="Noto Sans CJK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 w:line="278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 w:line="278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Noto Sans CJK SC" w:hAnsi="Noto Sans CJK SC" w:eastAsia="Noto Sans CJK SC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Noto Sans CJK SC" w:hAnsi="Noto Sans CJK SC" w:eastAsia="Noto Sans CJK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8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78" w:lineRule="auto" w:after="100"/>
    </w:pPr>
    <w:rPr>
      <w:rFonts w:asciiTheme="majorHAnsi" w:eastAsiaTheme="majorEastAsia" w:hAnsiTheme="majorHAnsi" w:cstheme="majorBidi" w:ascii="Noto Sans CJK SC" w:hAnsi="Noto Sans CJK SC" w:eastAsia="Noto Sans CJK SC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Noto Sans CJK SC" w:hAnsi="Noto Sans CJK SC" w:eastAsia="Noto Sans CJK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Noto Sans CJK SC" w:hAnsi="Noto Sans CJK SC" w:eastAsia="Noto Sans CJK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Noto Sans CJK SC" w:hAnsi="Noto Sans CJK SC" w:eastAsia="Noto Sans CJK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Noto Sans CJK SC" w:hAnsi="Noto Sans CJK SC" w:eastAsia="Noto Sans CJK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Noto Sans CJK SC" w:hAnsi="Noto Sans CJK SC" w:eastAsia="Noto Sans CJK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Noto Sans CJK SC" w:hAnsi="Noto Sans CJK SC" w:eastAsia="Noto Sans CJK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Noto Sans CJK SC" w:hAnsi="Noto Sans CJK SC" w:eastAsia="Noto Sans CJK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Noto Sans CJK SC" w:hAnsi="Noto Sans CJK SC" w:eastAsia="Noto Sans CJK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8" w:lineRule="auto" w:after="100"/>
      <w:contextualSpacing/>
    </w:pPr>
    <w:rPr>
      <w:rFonts w:ascii="Noto Sans CJK SC" w:hAnsi="Noto Sans CJK SC" w:eastAsia="Noto Sans CJK SC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Noto Sans CJK SC" w:hAnsi="Noto Sans CJK SC" w:eastAsia="Noto Sans CJK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Noto Sans CJK SC" w:hAnsi="Noto Sans CJK SC" w:eastAsia="Noto Sans CJK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Noto Sans CJK SC" w:hAnsi="Noto Sans CJK SC" w:eastAsia="Noto Sans CJK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Noto Sans CJK SC" w:hAnsi="Noto Sans CJK SC" w:eastAsia="Noto Sans CJK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Noto Sans CJK SC" w:hAnsi="Noto Sans CJK SC" w:eastAsia="Noto Sans CJK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Noto Sans CJK SC" w:hAnsi="Noto Sans CJK SC" w:eastAsia="Noto Sans CJK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Noto Sans CJK SC" w:hAnsi="Noto Sans CJK SC" w:eastAsia="Noto Sans CJK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Noto Sans CJK SC" w:hAnsi="Noto Sans CJK SC" w:eastAsia="Noto Sans CJK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Noto Sans CJK SC" w:hAnsi="Noto Sans CJK SC" w:eastAsia="Noto Sans CJK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Noto Sans CJK SC" w:hAnsi="Noto Sans CJK SC" w:eastAsia="Noto Sans CJK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Noto Sans CJK SC" w:hAnsi="Noto Sans CJK SC" w:eastAsia="Noto Sans CJK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Noto Sans CJK SC" w:hAnsi="Noto Sans CJK SC" w:eastAsia="Noto Sans CJK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Noto Sans CJK SC" w:hAnsi="Noto Sans CJK SC" w:eastAsia="Noto Sans CJK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Noto Sans CJK SC" w:hAnsi="Noto Sans CJK SC" w:eastAsia="Noto Sans CJK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Noto Sans CJK SC" w:hAnsi="Noto Sans CJK SC" w:eastAsia="Noto Sans CJK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Noto Sans CJK SC" w:hAnsi="Noto Sans CJK SC" w:eastAsia="Noto Sans CJK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Noto Sans CJK SC" w:hAnsi="Noto Sans CJK SC" w:eastAsia="Noto Sans CJK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ephtracy.github.io/" TargetMode="External"/><Relationship Id="rId11" Type="http://schemas.openxmlformats.org/officeDocument/2006/relationships/hyperlink" Target="https://www.voxelmade.com/magicavoxel/" TargetMode="External"/><Relationship Id="rId12" Type="http://schemas.openxmlformats.org/officeDocument/2006/relationships/hyperlink" Target="https://www.cedricchase.com/art/voxel-home" TargetMode="External"/><Relationship Id="rId13" Type="http://schemas.openxmlformats.org/officeDocument/2006/relationships/hyperlink" Target="https://docs.blender.org/manual/en/5.0/render/color_management/displays_view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潮汐邮局体素作品项目资料</dc:title>
  <dc:subject>持续更新的项目研究与决策记录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