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580" w:lineRule="exact"/>
      </w:pPr>
      <w:r>
        <w:rPr>
          <w:rFonts w:ascii="Noto Sans CJK SC" w:hAnsi="Noto Sans CJK SC" w:eastAsia="Noto Sans CJK SC"/>
        </w:rPr>
        <w:t>章鱼噼的原罪 MAD 项目计划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原计划：2026年10月5日　文字修订：2026年10月7日</w:t>
        <w:br/>
        <w:t>项目已停止。以下保留当时的构想与待核对项，不作为当前制作安排。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计划想讲的是：章鱼噼带着好意靠近孩子们，却没有理解他们各自的处境，伤害因而扩大。结尾拟放慢剪辑，让人物的对话和回应留在画面里。约20秒的测试原本用于检查群像关系是否清楚，尚不代表完整作品已成立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当时确定的方向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形式定为叙事型静止系 MAD，主要用漫画中的表情、视线、分格和构图讲故事。参考《夜晓》对人物关系与“被看见”的处理，不复制具体镜头。人物范围包括章鱼噼、小静、まりな与东。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音乐：Tele《硝子の線》，以所选官方 MV 为版本基准。普通 ED《がらすの線》与 vq remix 不作为本项目音源。唱片公司确认，汉字标题版由 Tele 重新构建编曲、扩展原曲的解释与世界观。[1]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选定的官方 MV  </w:t>
      </w:r>
      <w:hyperlink r:id="rId9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这份资料交付的是计划和镜头建议。当时尚未完成实际音源听取、选段及原作关键页核对。下列时长只是测试预算，没有对应歌曲时间码、节拍或乐句。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原定的三幕结构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第一幕从章鱼噼的期待和孩子们的沉默开始。首话中的面包、快乐道具、照片、书包，以及小静面对恰比的笑容，都可作为候选画面，先交代人物怎样靠近彼此。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第二幕把视线从小静移向まりな、东与章鱼噼。原拟用相似构图连接不同人物承受的压力，但因果与处境仍须逐页核准，不能仅凭剪辑把某个人变成纯粹的恶人或救助者。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第三幕拟减少动效，留出表情停顿和视线回应。漫画作者提到，第15话的对话是早期就有的规划；官方编辑也谈到结尾中的希望。[2][4] 原计划据此选择较克制的收束，具体镜头仍待原作页面核对。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选歌时的依据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Tele在原始ED的官方创作谈里，谈到想帮忙却无法真正理解对方的苦闷，也希望曲中人物能暂时平稳呼吸。[3] 原计划因此把歌曲与群像方向联系起来。它只是原始ED的创作背景，不能代替对所选版本歌词和音源的核对；当时尚未写出逐句配词或精确段落表。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br w:type="page"/>
      </w:r>
    </w:p>
    <w:p>
      <w:pPr>
        <w:pStyle w:val="Title"/>
        <w:keepNext/>
        <w:widowControl/>
        <w:spacing w:line="580" w:lineRule="exact"/>
      </w:pPr>
      <w:r>
        <w:rPr>
          <w:rFonts w:ascii="Noto Sans CJK SC" w:hAnsi="Noto Sans CJK SC" w:eastAsia="Noto Sans CJK SC"/>
        </w:rPr>
        <w:t>二十秒分镜测试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原测试目标：从理解错位转向倾听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以下六镜按原计划保留，均为画面设计预算，不是歌曲已有的结构或卡点记录。原拟使用6至8张关键画面，先检查人物关系，再考虑视差、遮罩与文字。</w:t>
      </w:r>
    </w:p>
    <w:p>
      <w:pPr>
        <w:pStyle w:val="Heading2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镜头1  0至3秒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同一画面保留孤立的小静与靠近的章鱼噼，用两人之间的空白建立距离。可轻推，也可静止；候选画面来自首话相遇段。</w:t>
      </w:r>
    </w:p>
    <w:p>
      <w:pPr>
        <w:pStyle w:val="Heading2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镜头2  3至6秒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把快乐道具带来的期待与小静的平淡反应接在一起。用明暗、视线和停顿呈现好意没有得到回应，暂不加解释字幕。</w:t>
      </w:r>
    </w:p>
    <w:p>
      <w:pPr>
        <w:pStyle w:val="Heading2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镜头3  6至9秒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让小静、まりな、东分别出现在各自的漫画格里，用相近的眼部或手部构图串联。候选页须能交代各自处境，不能只拼接受伤表情。</w:t>
      </w:r>
    </w:p>
    <w:p>
      <w:pPr>
        <w:pStyle w:val="Heading2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镜头4  9至12秒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回到前一构图，改变人物位置或留白，使重复的画面显出关系仍未改善。采用的视觉细节须先核准，不以具体伤害行为制造刺激。</w:t>
      </w:r>
    </w:p>
    <w:p>
      <w:pPr>
        <w:pStyle w:val="Heading2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镜头5  12至16秒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减少切换与运动，原拟从第15话对话中选择有视线回应的画面。保留沉默，不为人物补写原作没有的台词；关键页当时尚待核对。</w:t>
      </w:r>
    </w:p>
    <w:p>
      <w:pPr>
        <w:pStyle w:val="Heading2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镜头6  16至20秒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以一处关系细节或纸上涂鸦收尾，构图留出空白。官方访谈提到第16话的涂鸦，但其前后关系及最终画面当时尚未完成核对。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原拟检查的四件事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去掉解释字幕后，人物之间的距离与变化是否仍能辨认？中段能否看出不止一人的处境？末段是否出现交流的可能？转场是否帮助理解关系，而非只追着节拍切图？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当时保留了缩小测试范围的选择：若20秒放不下三幕，就只测第二幕到第三幕的转折，先删镜头，不靠加速塞满。最终选段仍需听取音源后判断。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br w:type="page"/>
      </w:r>
    </w:p>
    <w:p>
      <w:pPr>
        <w:pStyle w:val="Title"/>
        <w:keepNext/>
        <w:widowControl/>
        <w:spacing w:line="580" w:lineRule="exact"/>
      </w:pPr>
      <w:r>
        <w:rPr>
          <w:rFonts w:ascii="Noto Sans CJK SC" w:hAnsi="Noto Sans CJK SC" w:eastAsia="Noto Sans CJK SC"/>
        </w:rPr>
        <w:t>当时缺少的材料与核对项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材料缺口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音源：尚缺可用于本项目的《硝子の線》音频文件，或20至30秒候选片段及其在全曲中的起点。原计划不要求预先选好全部卡点。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漫画：尚缺可合法分享用于分析的6至8张候选画面及章节、页码。原拟覆盖小静、まりな、东的处境和第15话对话；若采用结尾，还需第16话必要的前后页。无需整部上传。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原拟制作顺序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1  核对音频与所选MV是否为同一版本，听取并记录时间码。</w:t>
        <w:br/>
        <w:t>2  核对漫画前后关系，再选定约20秒片段。</w:t>
        <w:br/>
        <w:t>3  将建议整理为精确镜头表，列出起止、动作和素材。</w:t>
        <w:br/>
        <w:t>4  制作低成本样片，检查关系与情绪，再判断是否适合扩展。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当时记录的使用限制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原计划以MANGA MILLION为官方阅读来源，整理时没有找到本作的MAD素材授权；所读条款对私人使用以外的截图复制、公开传播与改编有限制。[5] 漫画与音乐的公开使用范围仍须分别核对，署名不能替代授权。这里保留当时的来源记录，不表示已取得发布许可。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原构想涉及全篇剧情，若引用中后段或结尾，应标明全篇剧透。画面选择也应避开把具体暴力或自伤动作当作卖点。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主要来源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1  唱片公司说明与版本区别  </w:t>
      </w:r>
      <w:hyperlink r:id="rId10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2  漫画作者访谈与第15话对话  </w:t>
      </w:r>
      <w:hyperlink r:id="rId11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3  Tele原始ED创作谈  </w:t>
      </w:r>
      <w:hyperlink r:id="rId12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4  集英社编辑对结尾的说明  </w:t>
      </w:r>
      <w:hyperlink r:id="rId13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5  阅读站服务条款  </w:t>
      </w:r>
      <w:hyperlink r:id="rId14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原作官方阅读入口  </w:t>
      </w:r>
      <w:hyperlink r:id="rId15">
        <w:r>
          <w:rPr>
            <w:sz w:val="18"/>
          </w:rPr>
          <w:t>查看来源</w:t>
        </w:r>
      </w:hyperlink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  <w:b/>
        </w:rPr>
        <w:t xml:space="preserve">作者访谈与第16话涂鸦  </w:t>
      </w:r>
      <w:hyperlink r:id="rId16">
        <w:r>
          <w:rPr>
            <w:sz w:val="18"/>
          </w:rPr>
          <w:t>查看来源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drS7STiDBCY" TargetMode="External"/><Relationship Id="rId10" Type="http://schemas.openxmlformats.org/officeDocument/2006/relationships/hyperlink" Target="https://www.toysfactory.co.jp/sp/artist/tele/news/detail/6553" TargetMode="External"/><Relationship Id="rId11" Type="http://schemas.openxmlformats.org/officeDocument/2006/relationships/hyperlink" Target="https://shueisha.online/articles/-/4466?page=1" TargetMode="External"/><Relationship Id="rId12" Type="http://schemas.openxmlformats.org/officeDocument/2006/relationships/hyperlink" Target="https://www.tbs.co.jp/anime/takopi_project/news/news_20250520_02.html" TargetMode="External"/><Relationship Id="rId13" Type="http://schemas.openxmlformats.org/officeDocument/2006/relationships/hyperlink" Target="https://sp.shonenjump.com/p/cp/konomanga2023/" TargetMode="External"/><Relationship Id="rId14" Type="http://schemas.openxmlformats.org/officeDocument/2006/relationships/hyperlink" Target="https://mangamillion.shueisha.co.jp/terms-of-service" TargetMode="External"/><Relationship Id="rId15" Type="http://schemas.openxmlformats.org/officeDocument/2006/relationships/hyperlink" Target="https://mangamillion.shueisha.co.jp/zh-CN/title/4?lang=zh-CN" TargetMode="External"/><Relationship Id="rId16" Type="http://schemas.openxmlformats.org/officeDocument/2006/relationships/hyperlink" Target="https://shueisha.online/articles/-/44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章鱼噼的原罪 MAD 项目计划</dc:title>
  <dc:subject/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