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社会学的想象力选书与分享方案</w:t>
      </w:r>
    </w:p>
    <w:p>
      <w:pPr>
        <w:pStyle w:val="Subtitle"/>
      </w:pPr>
      <w:r>
        <w:rPr>
          <w:color w:val="000000"/>
        </w:rPr>
        <w:t>社会学概论课程分享  精读第一章 The Promise</w:t>
      </w:r>
    </w:p>
    <w:p>
      <w:pPr>
        <w:pStyle w:val="Heading2"/>
      </w:pPr>
      <w:r>
        <w:rPr>
          <w:color w:val="000000"/>
        </w:rPr>
        <w:t>选第7本  先讲清第一章</w:t>
      </w:r>
    </w:p>
    <w:p>
      <w:r>
        <w:t>这次分享建议选《社会学的想象力》，围绕“实习没拿到面试，除了改简历，还该查什么”展开。用一个校园案例，讲清米尔斯如何把个人处境与社会结构联系起来。</w:t>
      </w:r>
    </w:p>
    <w:p>
      <w:r>
        <w:t>按老师要求，后六本至少读一章。第一章 The Promise 可以单独精读，20—30分钟也足够把其中一组概念和一个例子讲清。选这本的主要考虑是它能直接接上同学熟悉的问题，阅读范围也比较容易控制。</w:t>
      </w:r>
    </w:p>
    <w:p>
      <w:r>
        <w:t>《乡土中国》也容易联系日常生活，但这次需要按整本准备；讲《新教伦理与资本主义精神》，得先补一些宗教史和概念背景；《国家精英》需要更多铺垫。就这次课堂任务而言，米尔斯第一章更便于入手。整本书还有较难的学术论争，第一章好切入，不代表全书都轻松。</w:t>
      </w:r>
    </w:p>
    <w:p>
      <w:pPr>
        <w:pStyle w:val="Heading2"/>
      </w:pPr>
      <w:r>
        <w:rPr>
          <w:color w:val="000000"/>
        </w:rPr>
        <w:t>第一章要读懂的问题</w:t>
      </w:r>
    </w:p>
    <w:p>
      <w:r>
        <w:t>“个人困扰”发生在个人及其直接生活圈中；“公共议题”则涉及多个生活圈背后的制度安排与公共价值。米尔斯把两者联系起来，要求读者同时看见个人经历、历史变化和社会结构。判断一个问题是否具有公共性质，要看它怎样产生，不能只数遇到问题的人有多少。第一章后半部分还讨论，社会科学如何把模糊的不安说清楚，使它成为可以公开讨论的问题。[1]</w:t>
      </w:r>
    </w:p>
    <w:p>
      <w:r>
        <w:t>分享时可以先摆出一个具体处境，再比较几种解释：哪些与个人准备有关，哪些需要查看组织规则，这些规则又有没有变化？最后说明现有证据能回答到哪一步。这是本次课堂的安排，不是米尔斯给出的固定分析公式。</w:t>
      </w:r>
    </w:p>
    <w:p>
      <w:pPr>
        <w:pStyle w:val="Heading2"/>
      </w:pPr>
      <w:r>
        <w:rPr>
          <w:color w:val="000000"/>
        </w:rPr>
        <w:t>阅读和准备</w:t>
      </w:r>
    </w:p>
    <w:p>
      <w:r>
        <w:t>先完整读完第一章，记下最想弄清的一处问题。回读时，再标出定义、举例和论证转折。不要读到“个人困扰”和“公共议题”就停下来，本章后半部分对社会科学公共责任的讨论，也需要放进对全章的理解。</w:t>
      </w:r>
    </w:p>
    <w:p>
      <w:r>
        <w:t>讨论前，每人带一张阅读卡：抄明原文位置，写下自己的解释，再留一条疑问或可能的反例。组内尽量使用同一译本；最终引用的文字和页码，都从手头的书核对。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02  用实习案例讨论个人处境</w:t>
      </w:r>
    </w:p>
    <w:p>
      <w:r>
        <w:t>以下是原创教学假设，不是米尔斯原书案例，也不是已经完成的调查。</w:t>
      </w:r>
    </w:p>
    <w:p>
      <w:pPr>
        <w:pStyle w:val="Heading2"/>
      </w:pPr>
      <w:r>
        <w:rPr>
          <w:color w:val="000000"/>
        </w:rPr>
        <w:t>小林为什么没拿到面试</w:t>
      </w:r>
    </w:p>
    <w:p>
      <w:r>
        <w:t>假设小林投了几份实习，都没有收到面试通知。其中一个岗位要求每周到岗四天、连续三个月，时间与他的必修课冲突。有人劝他修改简历，也有人认为招聘时间不适合在校生。先把这两种说法留下，看看各自需要什么证据。</w:t>
      </w:r>
    </w:p>
    <w:p>
      <w:pPr>
        <w:pStyle w:val="Heading2"/>
      </w:pPr>
      <w:r>
        <w:rPr>
          <w:color w:val="000000"/>
        </w:rPr>
        <w:t>把问题逐项查清</w:t>
      </w:r>
    </w:p>
    <w:p>
      <w:r>
        <w:t>先看个人准备。简历有没有写清做过的事，作品是否符合岗位要求，投递渠道是否合适？比较条件相近的申请者，有助于判断这些差异的影响。</w:t>
      </w:r>
    </w:p>
    <w:p>
      <w:r>
        <w:t>再看组织规则。岗位为什么要求每周四天，是否确有工作连续性的需要？学校的课表和考核有没有调整余地？只有查明具体要求，才能讨论筛选条件是否合理。</w:t>
      </w:r>
    </w:p>
    <w:p>
      <w:r>
        <w:t>异地实习还涉及住宿、交通和报酬。相同的录用机会，对不同家庭条件的学生可能意味着不同负担。这需要材料支持，不能仅凭家庭背景推断一个人的能力或选择。</w:t>
      </w:r>
    </w:p>
    <w:p>
      <w:r>
        <w:t>如果想讨论招聘要求的变化，就应比较不同时期、同类地区、行业和岗位的信息。把性质不同的招聘启事放在一起，无法说明同一种机会究竟变多了还是变少了。</w:t>
      </w:r>
    </w:p>
    <w:p>
      <w:pPr>
        <w:pStyle w:val="Heading2"/>
      </w:pPr>
      <w:r>
        <w:rPr>
          <w:color w:val="000000"/>
        </w:rPr>
        <w:t>可以收集什么材料</w:t>
      </w:r>
    </w:p>
    <w:p>
      <w:r>
        <w:t>有余力的话，选同一城市、同一岗位类型的10—15条公开招聘信息，记下发布日期、到岗天数、持续时间、地点和报酬，再对照公开课表。保存链接或截图；招聘启事没写的内容，就记“未说明”。</w:t>
      </w:r>
    </w:p>
    <w:p>
      <w:r>
        <w:t>这组材料只能作初步比较，不能代表整个招聘市场，也不足以证明某条规则造成了落选。若来不及收集资料，直接用假设案例讨论也可以，但展示页须标明“教学假设”，不能添上未经调查的访谈或比例。</w:t>
      </w:r>
    </w:p>
    <w:p>
      <w:pPr>
        <w:pStyle w:val="Heading2"/>
      </w:pPr>
      <w:r>
        <w:rPr>
          <w:color w:val="000000"/>
        </w:rPr>
        <w:t>讨论到什么程度才有依据</w:t>
      </w:r>
    </w:p>
    <w:p>
      <w:r>
        <w:t>可以接着问：小林还有哪些准备能做？学校与单位能否协调到岗时间，调整后由谁承担成本？这些问题把个人行动和组织安排放在同一场讨论中。SAGE导读也提醒读者，结构分析仍需保留个人的行动空间。[2]</w:t>
      </w:r>
    </w:p>
    <w:p>
      <w:r>
        <w:t>仅凭题设，可以确认某个岗位的到岗要求与小林的课表冲突，还无法解释他每一次落选。汇报到这里，应把“已经知道什么”和“还要查什么”说清。用于马理论、思政课堂时，也要区分对原因的解释、对规则的评价，以及具体的改进建议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03  25分钟课堂分享安排</w:t>
      </w:r>
    </w:p>
    <w:p>
      <w:pPr>
        <w:spacing w:line="269" w:lineRule="auto" w:after="80"/>
      </w:pPr>
      <w:r>
        <w:t>内容可安排在约10页展示中，最后另放一页成员和来源。页面只保留论证所需的信息，较长的解释留给讲述。</w:t>
      </w:r>
    </w:p>
    <w:p>
      <w:pPr>
        <w:spacing w:line="269" w:lineRule="auto" w:after="80"/>
      </w:pPr>
      <w:r>
        <w:t>0—2分钟  开场。展示小林的情境，问同学会先检查个人准备还是招聘规则，也允许回答“两者都查”。请一两位同学说明理由。</w:t>
      </w:r>
    </w:p>
    <w:p>
      <w:pPr>
        <w:spacing w:line="269" w:lineRule="auto" w:after="80"/>
      </w:pPr>
      <w:r>
        <w:t>2—4分钟  介绍书和阅读范围。交代作者、原书出版于1959年、本组精读第一章，再说明为什么用它讨论刚才的例子。[1]</w:t>
      </w:r>
    </w:p>
    <w:p>
      <w:pPr>
        <w:spacing w:line="269" w:lineRule="auto" w:after="80"/>
      </w:pPr>
      <w:r>
        <w:t>4—8分钟  解释概念。用一幅简单关系图说明个人困扰与公共议题的联系，配合第一章的一处短引文。引文和页码由组内从所用译本核定。</w:t>
      </w:r>
    </w:p>
    <w:p>
      <w:pPr>
        <w:spacing w:line="269" w:lineRule="auto" w:after="80"/>
      </w:pPr>
      <w:r>
        <w:t>8—14分钟  分析案例。按前一页的问题比较几种解释。讲述时区分题设、已查到的材料和待验证的推测；没有做资料收集，就始终按假设案例处理。</w:t>
      </w:r>
    </w:p>
    <w:p>
      <w:pPr>
        <w:spacing w:line="269" w:lineRule="auto" w:after="80"/>
      </w:pPr>
      <w:r>
        <w:t>14—18分钟  检查证据。说清什么材料会支持或削弱自己的判断。例如，四天到岗可能是工作连续性的要求，这会怎样影响对招聘条件的评价？</w:t>
      </w:r>
    </w:p>
    <w:p>
      <w:pPr>
        <w:spacing w:line="269" w:lineRule="auto" w:after="80"/>
      </w:pPr>
      <w:r>
        <w:t>18—22分钟  课堂讨论。从下面三个问题中选一个。请两位同学各讲约一分钟，再由组员指出分歧落在哪里。</w:t>
      </w:r>
    </w:p>
    <w:p>
      <w:pPr>
        <w:spacing w:line="269" w:lineRule="auto" w:after="80"/>
      </w:pPr>
      <w:r>
        <w:t>22—24分钟  收束。回答开场问题，说明答案的条件，以及尚缺的证据。</w:t>
      </w:r>
    </w:p>
    <w:p>
      <w:pPr>
        <w:spacing w:line="269" w:lineRule="auto" w:after="80"/>
      </w:pPr>
      <w:r>
        <w:t>24—25分钟  展示最后一页。列出组长、全部成员和实际使用的来源，留出简短答疑时间。</w:t>
      </w:r>
    </w:p>
    <w:p>
      <w:pPr>
        <w:pStyle w:val="Heading2"/>
        <w:spacing w:line="269" w:lineRule="auto" w:after="80"/>
      </w:pPr>
      <w:r>
        <w:rPr>
          <w:color w:val="000000"/>
        </w:rPr>
        <w:t>可用的讨论题</w:t>
      </w:r>
    </w:p>
    <w:p>
      <w:pPr>
        <w:spacing w:line="269" w:lineRule="auto" w:after="80"/>
      </w:pPr>
      <w:r>
        <w:t>① 如果只有一个人受到某项规则限制，我们是否就不必研究这项规则？</w:t>
      </w:r>
    </w:p>
    <w:p>
      <w:pPr>
        <w:spacing w:line="269" w:lineRule="auto" w:after="80"/>
      </w:pPr>
      <w:r>
        <w:t>② 如果所有人都提高了同一种能力，但岗位总数不变，这项建议解决了什么，又没解决什么？</w:t>
      </w:r>
    </w:p>
    <w:p>
      <w:pPr>
        <w:spacing w:line="269" w:lineRule="auto" w:after="80"/>
      </w:pPr>
      <w:r>
        <w:t>③ 如果一项规则提高了组织效率，却缩小了一部分人的选择，应该怎样评价和改进？</w:t>
      </w:r>
    </w:p>
    <w:p>
      <w:pPr>
        <w:pStyle w:val="Heading2"/>
        <w:spacing w:line="269" w:lineRule="auto" w:after="80"/>
      </w:pPr>
      <w:r>
        <w:rPr>
          <w:color w:val="000000"/>
        </w:rPr>
        <w:t>组内分工</w:t>
      </w:r>
    </w:p>
    <w:p>
      <w:pPr>
        <w:spacing w:line="269" w:lineRule="auto" w:after="80"/>
      </w:pPr>
      <w:r>
        <w:t>3人：一人负责文本与概念，一人负责案例与资料，一人负责论证检查、呈现与主持；全员都读第一章。四至五人：再拆出视觉制作、资料核验与排练计时。</w:t>
      </w:r>
    </w:p>
    <w:p>
      <w:pPr>
        <w:spacing w:line="269" w:lineRule="auto" w:after="80"/>
      </w:pPr>
      <w:r>
        <w:t>八至十人可以分成四组，分别核读文本、查案例材料、准备反例与讨论、制作和统稿。第9—10人协助主持、核源及计时。每个人都应有明确工作；是否全员上台，按老师要求执行。</w:t>
      </w:r>
    </w:p>
    <w:p>
      <w:pPr>
        <w:spacing w:line="269" w:lineRule="auto" w:after="80"/>
      </w:pPr>
      <w:r>
        <w:t>若只有20分钟，缩短案例讲解，保留一轮讨论。若有30分钟，增加一种解释，给同学更多反驳和回应的时间。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04  阅读边界 版本与来源</w:t>
      </w:r>
    </w:p>
    <w:p>
      <w:pPr>
        <w:pStyle w:val="Heading2"/>
      </w:pPr>
      <w:r>
        <w:rPr>
          <w:color w:val="000000"/>
        </w:rPr>
        <w:t>应用时需要留意的地方</w:t>
      </w:r>
    </w:p>
    <w:p>
      <w:r>
        <w:t>“很多人都遇到”只能提示值得继续追查，共同原因仍要靠规则、作用过程和比较材料来判断。结构条件会限制选择，却不会抹掉个人之间的差异。米尔斯写作于1959年；要把他的提问方式用到今天的中国校园，具体判断仍须依据今天的材料。</w:t>
      </w:r>
    </w:p>
    <w:p>
      <w:r>
        <w:t>孙飞宇的文章摘要把这本书放在通识教育与公共实践的背景中讨论，可作为延伸阅读。[3] 读过后再回看自己的分享：听众是否只记住了两个术语，还是已经能把一个原本说不清的问题问得更具体？</w:t>
      </w:r>
    </w:p>
    <w:p>
      <w:pPr>
        <w:pStyle w:val="Heading2"/>
      </w:pPr>
      <w:r>
        <w:rPr>
          <w:color w:val="000000"/>
        </w:rPr>
        <w:t>中文版怎么选</w:t>
      </w:r>
    </w:p>
    <w:p>
      <w:r>
        <w:t>两种常见简体版都可作为阅读入口；不用为了汇报另买一版，能借到哪版就先读哪版。全组尽量统一，正式引用不要混用页码。</w:t>
      </w:r>
    </w:p>
    <w:p>
      <w:r>
        <w:t>陈强、张永强译：生活·读书·新知三联书店，2016年，第4版，ISBN 9787108057259。该版第一章题为《前景》（目录见[5]）。李康译：北京师范大学出版社，2017年，ISBN 9787303212842。第一章也有《承诺》的译名；英文章名 The Promise 最便于跨版本对应。[4—6]</w:t>
      </w:r>
    </w:p>
    <w:p>
      <w:pPr>
        <w:pStyle w:val="Heading2"/>
      </w:pPr>
      <w:r>
        <w:rPr>
          <w:color w:val="000000"/>
        </w:rPr>
        <w:t>可核查来源</w:t>
      </w:r>
    </w:p>
    <w:p>
      <w:hyperlink r:id="rId9">
        <w:r>
          <w:rPr>
            <w:color w:val="236C85"/>
            <w:u w:val="single"/>
          </w:rPr>
          <w:t>[1] 米尔斯：《社会学的想象力》第一章英文教学转载（Unitec）</w:t>
        </w:r>
      </w:hyperlink>
    </w:p>
    <w:p>
      <w:r>
        <w:t>本次精读的主要文本。PDF首页标注1959年原著第3—24页；PDF本身经过重排，不能把屏幕页数当成原书页码。研究范围以第一章为中心。</w:t>
      </w:r>
    </w:p>
    <w:p>
      <w:hyperlink r:id="rId10">
        <w:r>
          <w:rPr>
            <w:color w:val="236C85"/>
            <w:u w:val="single"/>
          </w:rPr>
          <w:t>[2] SAGE出版社：获授权的第一章教学节选及导读</w:t>
        </w:r>
      </w:hyperlink>
    </w:p>
    <w:p>
      <w:hyperlink r:id="rId11">
        <w:r>
          <w:rPr>
            <w:color w:val="236C85"/>
            <w:u w:val="single"/>
          </w:rPr>
          <w:t>[3] 孙飞宇：〈社会学对通识教育的承诺：米尔斯《社会学的想象力》中的三个面向〉，《中国社会科学院大学学报》2023年第2期</w:t>
        </w:r>
      </w:hyperlink>
    </w:p>
    <w:p>
      <w:hyperlink r:id="rId12">
        <w:r>
          <w:rPr>
            <w:color w:val="236C85"/>
            <w:u w:val="single"/>
          </w:rPr>
          <w:t>[4] 湖北大学馆藏：三联2016版书目核验</w:t>
        </w:r>
      </w:hyperlink>
    </w:p>
    <w:p>
      <w:hyperlink r:id="rId13">
        <w:r>
          <w:rPr>
            <w:color w:val="236C85"/>
            <w:u w:val="single"/>
          </w:rPr>
          <w:t>[5] 芸台购：三联2016版目录；对照第一章《前景》</w:t>
        </w:r>
      </w:hyperlink>
    </w:p>
    <w:p>
      <w:hyperlink r:id="rId14">
        <w:r>
          <w:rPr>
            <w:color w:val="236C85"/>
            <w:u w:val="single"/>
          </w:rPr>
          <w:t>[6] 对外经济贸易大学馆藏：李康译、北师大2017版书目核验</w:t>
        </w:r>
      </w:hyperlink>
    </w:p>
    <w:p>
      <w:hyperlink r:id="rId15">
        <w:r>
          <w:rPr>
            <w:color w:val="236C85"/>
            <w:u w:val="single"/>
          </w:rPr>
          <w:t>补充：五南出版社李康译本目录与试读，第一章《承诺》；这是2023繁体版</w:t>
        </w:r>
      </w:hyperlink>
    </w:p>
    <w:p>
      <w:r>
        <w:t>上台前再核对一次：所选章节是否读完，引用能否找到原页，假设案例有没有标明，数据是否注明口径和日期。最后排练一遍，把时间控制在20—30分钟，并补齐组长、成员和实际使用的来源。</w:t>
      </w:r>
    </w:p>
    <w:sectPr w:rsidR="00FC693F" w:rsidRPr="0006063C" w:rsidSect="00034616">
      <w:pgSz w:w="11909" w:h="16834"/>
      <w:pgMar w:top="922" w:right="1051" w:bottom="922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odle.unitec.ac.nz/pluginfile.php/713020/mod_resource/content/3/The_Sociological_Imagination_Chapt_1_the_Promise.pdf" TargetMode="External"/><Relationship Id="rId10" Type="http://schemas.openxmlformats.org/officeDocument/2006/relationships/hyperlink" Target="https://cmn-cdn-uat-001.sagepub.com/books-uat/titles/276069/att_sb1_117672.pdf" TargetMode="External"/><Relationship Id="rId11" Type="http://schemas.openxmlformats.org/officeDocument/2006/relationships/hyperlink" Target="https://xbbjb.ucass.edu.cn/info/1193/2980.htm" TargetMode="External"/><Relationship Id="rId12" Type="http://schemas.openxmlformats.org/officeDocument/2006/relationships/hyperlink" Target="https://libspace.hubu.edu.cn/mspace/searchDetailLocal/mede78a1bcdbb9ffd224ee41c6eeec4a7" TargetMode="External"/><Relationship Id="rId13" Type="http://schemas.openxmlformats.org/officeDocument/2006/relationships/hyperlink" Target="https://www.yuntaigo.com/book.action?recordid=emFmem9mb2M5Nzg3MTA4MDU3MjU5" TargetMode="External"/><Relationship Id="rId14" Type="http://schemas.openxmlformats.org/officeDocument/2006/relationships/hyperlink" Target="https://opac.uibe.edu.cn/opac/book/1c68f610b877dc8e79435a17df217685" TargetMode="External"/><Relationship Id="rId15" Type="http://schemas.openxmlformats.org/officeDocument/2006/relationships/hyperlink" Target="https://www.wunan.com.tw/bookdetail?NO=16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《社会学的想象力》：选书研究与分享方案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