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Rule="auto"/>
        <w:rPr>
          <w:rFonts w:ascii="Arial" w:cs="Arial" w:eastAsia="Arial" w:hAnsi="Arial"/>
          <w:color w:val="1a365d"/>
        </w:rPr>
      </w:pPr>
      <w:r w:rsidDel="00000000" w:rsidR="00000000" w:rsidRPr="00000000">
        <w:rPr>
          <w:rFonts w:ascii="Arial" w:cs="Arial" w:eastAsia="Arial" w:hAnsi="Arial"/>
          <w:color w:val="1a365d"/>
          <w:rtl w:val="0"/>
        </w:rPr>
        <w:t xml:space="preserve">Revisão da Literatura Científica e Fundamentação Tecnológica — Projeto PlantiumAI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75" w:line="300" w:lineRule="auto"/>
        <w:jc w:val="both"/>
        <w:rPr>
          <w:rFonts w:ascii="Arial" w:cs="Arial" w:eastAsia="Arial" w:hAnsi="Arial"/>
        </w:rPr>
      </w:pPr>
      <w:r w:rsidDel="00000000" w:rsidR="00000000" w:rsidRPr="00000000">
        <w:rPr>
          <w:rFonts w:ascii="Arial" w:cs="Arial" w:eastAsia="Arial" w:hAnsi="Arial"/>
          <w:rtl w:val="0"/>
        </w:rPr>
        <w:t xml:space="preserve">Este documento consolida a revisão sistemática de literatura e a fundamentação tecnológica para o desenvolvimento do </w:t>
      </w:r>
      <w:r w:rsidDel="00000000" w:rsidR="00000000" w:rsidRPr="00000000">
        <w:rPr>
          <w:rFonts w:ascii="Arial" w:cs="Arial" w:eastAsia="Arial" w:hAnsi="Arial"/>
          <w:b w:val="1"/>
          <w:bCs w:val="1"/>
          <w:rtl w:val="0"/>
        </w:rPr>
        <w:t xml:space="preserve">Projeto PlantiumAI</w:t>
      </w:r>
      <w:r w:rsidDel="00000000" w:rsidR="00000000" w:rsidRPr="00000000">
        <w:rPr>
          <w:rFonts w:ascii="Arial" w:cs="Arial" w:eastAsia="Arial" w:hAnsi="Arial"/>
          <w:rtl w:val="0"/>
        </w:rPr>
        <w:t xml:space="preserve">. A pesquisa integra o estado da arte em Internet das Coisas (IoT), Visão Computacional, Inteligência Artificial Agêntica e Modelos de Linguagem Multimodais (MLLMs), alinhando a infraestrutura técnica às demandas socioeconômicas e ao ecossistema de inovação do estado de Goiás.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2c5282"/>
        </w:rPr>
      </w:pPr>
      <w:r w:rsidDel="00000000" w:rsidR="00000000" w:rsidRPr="00000000">
        <w:rPr>
          <w:rFonts w:ascii="Arial" w:cs="Arial" w:eastAsia="Arial" w:hAnsi="Arial"/>
          <w:color w:val="2c5282"/>
          <w:rtl w:val="0"/>
        </w:rPr>
        <w:t xml:space="preserve">1. Contextualização Regional e Integração ao Ecossistema de Goiás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A modernização da horticultura protegida de precisão no Brasil exige a incorporação de tecnologias disruptivas para garantir a sustentabilidade e mitigar riscos de produção. No cenário goiano, essa evolução é impulsionada por iniciativas como o </w:t>
      </w:r>
      <w:r w:rsidDel="00000000" w:rsidR="00000000" w:rsidRPr="00000000">
        <w:rPr>
          <w:rFonts w:ascii="Arial" w:cs="Arial" w:eastAsia="Arial" w:hAnsi="Arial"/>
          <w:b w:val="1"/>
          <w:bCs w:val="1"/>
          <w:rtl w:val="0"/>
        </w:rPr>
        <w:t xml:space="preserve">Desafio Agrostartup 2026</w:t>
      </w:r>
      <w:r w:rsidDel="00000000" w:rsidR="00000000" w:rsidRPr="00000000">
        <w:rPr>
          <w:rFonts w:ascii="Arial" w:cs="Arial" w:eastAsia="Arial" w:hAnsi="Arial"/>
          <w:rtl w:val="0"/>
        </w:rPr>
        <w:t xml:space="preserve">, promovido pelo Senar Goiás e Sebrae Goiás sob a premissa "Inovar para Cuidar: saúde e tecnologia a serviço do agro", que disponibiliza R$ 720.000,00 via FAPEG para fomentar soluções voltadas à eficiência produtiva e redução de custos operacionais.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O desenvolvimento do PlantiumAI conecta-se diretamente a programas locais focados em segurança alimentar e agricultura urbana, tais como as </w:t>
      </w:r>
      <w:r w:rsidDel="00000000" w:rsidR="00000000" w:rsidRPr="00000000">
        <w:rPr>
          <w:rFonts w:ascii="Arial" w:cs="Arial" w:eastAsia="Arial" w:hAnsi="Arial"/>
          <w:i w:val="1"/>
          <w:iCs w:val="1"/>
          <w:rtl w:val="0"/>
        </w:rPr>
        <w:t xml:space="preserve">Hortas Comunitárias de Goiânia</w:t>
      </w:r>
      <w:r w:rsidDel="00000000" w:rsidR="00000000" w:rsidRPr="00000000">
        <w:rPr>
          <w:rFonts w:ascii="Arial" w:cs="Arial" w:eastAsia="Arial" w:hAnsi="Arial"/>
          <w:rtl w:val="0"/>
        </w:rPr>
        <w:t xml:space="preserve">, o programa </w:t>
      </w:r>
      <w:r w:rsidDel="00000000" w:rsidR="00000000" w:rsidRPr="00000000">
        <w:rPr>
          <w:rFonts w:ascii="Arial" w:cs="Arial" w:eastAsia="Arial" w:hAnsi="Arial"/>
          <w:i w:val="1"/>
          <w:iCs w:val="1"/>
          <w:rtl w:val="0"/>
        </w:rPr>
        <w:t xml:space="preserve">Horta para Todos</w:t>
      </w:r>
      <w:r w:rsidDel="00000000" w:rsidR="00000000" w:rsidRPr="00000000">
        <w:rPr>
          <w:rFonts w:ascii="Arial" w:cs="Arial" w:eastAsia="Arial" w:hAnsi="Arial"/>
          <w:rtl w:val="0"/>
        </w:rPr>
        <w:t xml:space="preserve"> (Senar Goiás/Prefeitura de Goiânia) e o </w:t>
      </w:r>
      <w:r w:rsidDel="00000000" w:rsidR="00000000" w:rsidRPr="00000000">
        <w:rPr>
          <w:rFonts w:ascii="Arial" w:cs="Arial" w:eastAsia="Arial" w:hAnsi="Arial"/>
          <w:i w:val="1"/>
          <w:iCs w:val="1"/>
          <w:rtl w:val="0"/>
        </w:rPr>
        <w:t xml:space="preserve">Projeto Agricultura Urbana</w:t>
      </w:r>
      <w:r w:rsidDel="00000000" w:rsidR="00000000" w:rsidRPr="00000000">
        <w:rPr>
          <w:rFonts w:ascii="Arial" w:cs="Arial" w:eastAsia="Arial" w:hAnsi="Arial"/>
          <w:rtl w:val="0"/>
        </w:rPr>
        <w:t xml:space="preserve"> em Aparecida de Goiânia, que capacita produtores no manejo sustentável e na aplicação de remineralizadores como o pó de rocha (FMX).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75" w:line="300" w:lineRule="auto"/>
        <w:jc w:val="both"/>
        <w:rPr>
          <w:rFonts w:ascii="Arial" w:cs="Arial" w:eastAsia="Arial" w:hAnsi="Arial"/>
        </w:rPr>
      </w:pPr>
      <w:r w:rsidDel="00000000" w:rsidR="00000000" w:rsidRPr="00000000">
        <w:rPr>
          <w:rFonts w:ascii="Arial" w:cs="Arial" w:eastAsia="Arial" w:hAnsi="Arial"/>
          <w:rtl w:val="0"/>
        </w:rPr>
        <w:t xml:space="preserve">Para viabilizar a arquitetura eletrônica local com baixo custo e alta eficiência, o projeto integra-se ao ecossistema tecnológico regional através da </w:t>
      </w:r>
      <w:r w:rsidDel="00000000" w:rsidR="00000000" w:rsidRPr="00000000">
        <w:rPr>
          <w:rFonts w:ascii="Arial" w:cs="Arial" w:eastAsia="Arial" w:hAnsi="Arial"/>
          <w:b w:val="1"/>
          <w:bCs w:val="1"/>
          <w:rtl w:val="0"/>
        </w:rPr>
        <w:t xml:space="preserve">SiriNEO Technologies</w:t>
      </w:r>
      <w:r w:rsidDel="00000000" w:rsidR="00000000" w:rsidRPr="00000000">
        <w:rPr>
          <w:rFonts w:ascii="Arial" w:cs="Arial" w:eastAsia="Arial" w:hAnsi="Arial"/>
          <w:rtl w:val="0"/>
        </w:rPr>
        <w:t xml:space="preserve">, sediada em Goiânia. A empresa fornece a microplataforma de hardware </w:t>
      </w:r>
      <w:r w:rsidDel="00000000" w:rsidR="00000000" w:rsidRPr="00000000">
        <w:rPr>
          <w:rFonts w:ascii="Arial" w:cs="Arial" w:eastAsia="Arial" w:hAnsi="Arial"/>
          <w:b w:val="1"/>
          <w:bCs w:val="1"/>
          <w:rtl w:val="0"/>
        </w:rPr>
        <w:t xml:space="preserve">JARM ESP32</w:t>
      </w:r>
      <w:r w:rsidDel="00000000" w:rsidR="00000000" w:rsidRPr="00000000">
        <w:rPr>
          <w:rFonts w:ascii="Arial" w:cs="Arial" w:eastAsia="Arial" w:hAnsi="Arial"/>
          <w:rtl w:val="0"/>
        </w:rPr>
        <w:t xml:space="preserve"> (módulos Espressif ESP32-WROOM) e o shield multiprotocolo </w:t>
      </w:r>
      <w:r w:rsidDel="00000000" w:rsidR="00000000" w:rsidRPr="00000000">
        <w:rPr>
          <w:rFonts w:ascii="Arial" w:cs="Arial" w:eastAsia="Arial" w:hAnsi="Arial"/>
          <w:b w:val="1"/>
          <w:bCs w:val="1"/>
          <w:rtl w:val="0"/>
        </w:rPr>
        <w:t xml:space="preserve">BEESP-MF</w:t>
      </w:r>
      <w:r w:rsidDel="00000000" w:rsidR="00000000" w:rsidRPr="00000000">
        <w:rPr>
          <w:rFonts w:ascii="Arial" w:cs="Arial" w:eastAsia="Arial" w:hAnsi="Arial"/>
          <w:rtl w:val="0"/>
        </w:rPr>
        <w:t xml:space="preserve">, permitindo acoplar sensores de luminosidade, temperatura e relés com conectividade via Zigbee (módulo ZigBOT Zigbee 3), LoRaWAN e Sigfox. O fluxo de telemetria é gerenciado pelo motor de regras inteligente (IoT Rules Engine) da plataforma web </w:t>
      </w:r>
      <w:r w:rsidDel="00000000" w:rsidR="00000000" w:rsidRPr="00000000">
        <w:rPr>
          <w:rFonts w:ascii="Arial" w:cs="Arial" w:eastAsia="Arial" w:hAnsi="Arial"/>
          <w:b w:val="1"/>
          <w:bCs w:val="1"/>
          <w:rtl w:val="0"/>
        </w:rPr>
        <w:t xml:space="preserve">SiriNEO Things</w:t>
      </w:r>
      <w:r w:rsidDel="00000000" w:rsidR="00000000" w:rsidRPr="00000000">
        <w:rPr>
          <w:rFonts w:ascii="Arial" w:cs="Arial" w:eastAsia="Arial" w:hAnsi="Arial"/>
          <w:rtl w:val="0"/>
        </w:rPr>
        <w:t xml:space="preserve"> via protocolo MQTT, permitindo ações automáticas na borda. Parcerias com a FPM e a rede VarejoIN reforçam a sustentação e inserção comercial do projeto no mercado local.</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2c5282"/>
        </w:rPr>
      </w:pPr>
      <w:r w:rsidDel="00000000" w:rsidR="00000000" w:rsidRPr="00000000">
        <w:rPr>
          <w:rFonts w:ascii="Arial" w:cs="Arial" w:eastAsia="Arial" w:hAnsi="Arial"/>
          <w:color w:val="2c5282"/>
          <w:rtl w:val="0"/>
        </w:rPr>
        <w:t xml:space="preserve">2. O Paradigma da Inteligência Artificial Agêntica: O Experimento Sol Biodome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O projeto PlantiumAI baseia sua validação operacional no conceito de </w:t>
      </w:r>
      <w:r w:rsidDel="00000000" w:rsidR="00000000" w:rsidRPr="00000000">
        <w:rPr>
          <w:rFonts w:ascii="Arial" w:cs="Arial" w:eastAsia="Arial" w:hAnsi="Arial"/>
          <w:b w:val="1"/>
          <w:bCs w:val="1"/>
          <w:rtl w:val="0"/>
        </w:rPr>
        <w:t xml:space="preserve">IA Agêntica (Agentic AI)</w:t>
      </w:r>
      <w:r w:rsidDel="00000000" w:rsidR="00000000" w:rsidRPr="00000000">
        <w:rPr>
          <w:rFonts w:ascii="Arial" w:cs="Arial" w:eastAsia="Arial" w:hAnsi="Arial"/>
          <w:rtl w:val="0"/>
        </w:rPr>
        <w:t xml:space="preserve"> no mundo físico, tendo como inspiração direta o experimento global </w:t>
      </w:r>
      <w:r w:rsidDel="00000000" w:rsidR="00000000" w:rsidRPr="00000000">
        <w:rPr>
          <w:rFonts w:ascii="Arial" w:cs="Arial" w:eastAsia="Arial" w:hAnsi="Arial"/>
          <w:b w:val="1"/>
          <w:bCs w:val="1"/>
          <w:rtl w:val="0"/>
        </w:rPr>
        <w:t xml:space="preserve">Sol Biodome</w:t>
      </w:r>
      <w:r w:rsidDel="00000000" w:rsidR="00000000" w:rsidRPr="00000000">
        <w:rPr>
          <w:rFonts w:ascii="Arial" w:cs="Arial" w:eastAsia="Arial" w:hAnsi="Arial"/>
          <w:rtl w:val="0"/>
        </w:rPr>
        <w:t xml:space="preserve">, conduzido pelo desenvolvedor Martin DeVido em 2026. Nesse ensaio científico, o modelo multimodal Claude (Anthropic) assumiu o controle total e autônomo de um tomateiro (</w:t>
      </w:r>
      <w:r w:rsidDel="00000000" w:rsidR="00000000" w:rsidRPr="00000000">
        <w:rPr>
          <w:rFonts w:ascii="Arial" w:cs="Arial" w:eastAsia="Arial" w:hAnsi="Arial"/>
          <w:i w:val="1"/>
          <w:iCs w:val="1"/>
          <w:rtl w:val="0"/>
        </w:rPr>
        <w:t xml:space="preserve">Solanum lycopersicum</w:t>
      </w:r>
      <w:r w:rsidDel="00000000" w:rsidR="00000000" w:rsidRPr="00000000">
        <w:rPr>
          <w:rFonts w:ascii="Arial" w:cs="Arial" w:eastAsia="Arial" w:hAnsi="Arial"/>
          <w:rtl w:val="0"/>
        </w:rPr>
        <w:t xml:space="preserve">) batizado de "Sol", cultivado em um ambiente protegido monitorado por 13 sensores físicos.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O loop ReAct em malha fechada (closed-loop) realizava checagens ambientais a cada 15-30 minutos (CO₂, umidade do solo, umidade do ar, temperatura e luminosidade), acionando de forma autônoma os atuadores (lâmpadas de cultivo LED, tapetes aquecedores, exaustores e bombas de irrigação gerenciadas por Arduino). Para evitar o esgotamento do limite de memória, foi implementada uma arquitetura com duas camadas de contexto: um loop operacional de curto prazo associado a uma rotina de autoconsolidação de dados executada a cada 2 horas.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75" w:line="300" w:lineRule="auto"/>
        <w:jc w:val="both"/>
        <w:rPr>
          <w:rFonts w:ascii="Arial" w:cs="Arial" w:eastAsia="Arial" w:hAnsi="Arial"/>
        </w:rPr>
      </w:pPr>
      <w:r w:rsidDel="00000000" w:rsidR="00000000" w:rsidRPr="00000000">
        <w:rPr>
          <w:rFonts w:ascii="Arial" w:cs="Arial" w:eastAsia="Arial" w:hAnsi="Arial"/>
          <w:rtl w:val="0"/>
        </w:rPr>
        <w:t xml:space="preserve">A robustez do comportamento agêntica foi comprovada no 34º dia do experimento, quando ocorreu uma pane severa de hardware nos subsistemas de iluminação, ventilação e aquecimento. Durante o ciclo automático de diagnóstico, a IA detectou a anomalia climática e, em apenas 13 minutos, restabeleceu o controle operacional reconfigurando os barramentos de controle sem qualquer intervenção humana, impedindo o murchamento da planta e salvando o cultivo.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2c5282"/>
        </w:rPr>
      </w:pPr>
      <w:r w:rsidDel="00000000" w:rsidR="00000000" w:rsidRPr="00000000">
        <w:rPr>
          <w:rFonts w:ascii="Arial" w:cs="Arial" w:eastAsia="Arial" w:hAnsi="Arial"/>
          <w:color w:val="2c5282"/>
          <w:rtl w:val="0"/>
        </w:rPr>
        <w:t xml:space="preserve">3. Avanços Científicos em Modelos de Linguagem Multimodais para Diagnóstico Fitossanitário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A literatura acadêmica recente aponta que a identificação de fitopatógenos evoluiu de classificadores simples de imagens para ecossistemas complexos de raciocínio contextual. O desenvolvimento do </w:t>
      </w:r>
      <w:r w:rsidDel="00000000" w:rsidR="00000000" w:rsidRPr="00000000">
        <w:rPr>
          <w:rFonts w:ascii="Arial" w:cs="Arial" w:eastAsia="Arial" w:hAnsi="Arial"/>
          <w:b w:val="1"/>
          <w:bCs w:val="1"/>
          <w:rtl w:val="0"/>
        </w:rPr>
        <w:t xml:space="preserve">AgriM-LLM</w:t>
      </w:r>
      <w:r w:rsidDel="00000000" w:rsidR="00000000" w:rsidRPr="00000000">
        <w:rPr>
          <w:rFonts w:ascii="Arial" w:cs="Arial" w:eastAsia="Arial" w:hAnsi="Arial"/>
          <w:rtl w:val="0"/>
        </w:rPr>
        <w:t xml:space="preserve">, um modelo de linguagem multimodal especializado na área agrícola, exemplifica esse avanço através da introdução do Codificador Visual Avançado (EVE) baseado em Vision Transformers (ViT) e otimizado com o módulo de Fusão de Características Multiescala (MSFF).</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O módulo MSFF é projetado para capturar sintomas sutis de patologias, agregando detalhes finos das camadas iniciais (como bordas e texturas de lesões foliares) a representações abstratas das camadas profundas. Esse processo de fusão é modelado matematicamente pela seguinte equação: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before="150" w:line="300" w:lineRule="auto"/>
        <w:ind w:left="150" w:right="150" w:firstLine="0"/>
        <w:jc w:val="center"/>
        <w:rPr>
          <w:rFonts w:ascii="Arial" w:cs="Arial" w:eastAsia="Arial" w:hAnsi="Arial"/>
          <w:b w:val="1"/>
          <w:bCs w:val="1"/>
          <w:shd w:fill="f7fafc" w:val="clear"/>
        </w:rPr>
      </w:pPr>
      <w:r w:rsidDel="00000000" w:rsidR="00000000" w:rsidRPr="00000000">
        <w:rPr>
          <w:rFonts w:ascii="Arial" w:cs="Arial" w:eastAsia="Arial" w:hAnsi="Arial"/>
          <w:b w:val="1"/>
          <w:bCs w:val="1"/>
          <w:shd w:fill="f7fafc" w:val="clear"/>
          <w:rtl w:val="0"/>
        </w:rPr>
        <w:t xml:space="preserve">f</w:t>
      </w:r>
      <w:r w:rsidDel="00000000" w:rsidR="00000000" w:rsidRPr="00000000">
        <w:rPr>
          <w:rFonts w:ascii="Arial" w:cs="Arial" w:eastAsia="Arial" w:hAnsi="Arial"/>
          <w:b w:val="1"/>
          <w:bCs w:val="1"/>
          <w:shd w:fill="f7fafc" w:val="clear"/>
          <w:vertAlign w:val="subscript"/>
          <w:rtl w:val="0"/>
        </w:rPr>
        <w:t xml:space="preserve">fusion</w:t>
      </w:r>
      <w:r w:rsidDel="00000000" w:rsidR="00000000" w:rsidRPr="00000000">
        <w:rPr>
          <w:rFonts w:ascii="Arial" w:cs="Arial" w:eastAsia="Arial" w:hAnsi="Arial"/>
          <w:b w:val="1"/>
          <w:bCs w:val="1"/>
          <w:shd w:fill="f7fafc" w:val="clear"/>
          <w:rtl w:val="0"/>
        </w:rPr>
        <w:t xml:space="preserve"> = σ(W</w:t>
      </w:r>
      <w:r w:rsidDel="00000000" w:rsidR="00000000" w:rsidRPr="00000000">
        <w:rPr>
          <w:rFonts w:ascii="Arial" w:cs="Arial" w:eastAsia="Arial" w:hAnsi="Arial"/>
          <w:b w:val="1"/>
          <w:bCs w:val="1"/>
          <w:shd w:fill="f7fafc" w:val="clear"/>
          <w:vertAlign w:val="subscript"/>
          <w:rtl w:val="0"/>
        </w:rPr>
        <w:t xml:space="preserve">f</w:t>
      </w:r>
      <w:r w:rsidDel="00000000" w:rsidR="00000000" w:rsidRPr="00000000">
        <w:rPr>
          <w:rFonts w:ascii="Arial" w:cs="Arial" w:eastAsia="Arial" w:hAnsi="Arial"/>
          <w:b w:val="1"/>
          <w:bCs w:val="1"/>
          <w:shd w:fill="f7fafc" w:val="clear"/>
          <w:rtl w:val="0"/>
        </w:rPr>
        <w:t xml:space="preserve"> · [x</w:t>
      </w:r>
      <w:r w:rsidDel="00000000" w:rsidR="00000000" w:rsidRPr="00000000">
        <w:rPr>
          <w:rFonts w:ascii="Arial" w:cs="Arial" w:eastAsia="Arial" w:hAnsi="Arial"/>
          <w:b w:val="1"/>
          <w:bCs w:val="1"/>
          <w:shd w:fill="f7fafc" w:val="clear"/>
          <w:vertAlign w:val="subscript"/>
          <w:rtl w:val="0"/>
        </w:rPr>
        <w:t xml:space="preserve">1</w:t>
      </w:r>
      <w:r w:rsidDel="00000000" w:rsidR="00000000" w:rsidRPr="00000000">
        <w:rPr>
          <w:rFonts w:ascii="Arial" w:cs="Arial" w:eastAsia="Arial" w:hAnsi="Arial"/>
          <w:b w:val="1"/>
          <w:bCs w:val="1"/>
          <w:shd w:fill="f7fafc" w:val="clear"/>
          <w:rtl w:val="0"/>
        </w:rPr>
        <w:t xml:space="preserve"> || x</w:t>
      </w:r>
      <w:r w:rsidDel="00000000" w:rsidR="00000000" w:rsidRPr="00000000">
        <w:rPr>
          <w:rFonts w:ascii="Arial" w:cs="Arial" w:eastAsia="Arial" w:hAnsi="Arial"/>
          <w:b w:val="1"/>
          <w:bCs w:val="1"/>
          <w:shd w:fill="f7fafc" w:val="clear"/>
          <w:vertAlign w:val="subscript"/>
          <w:rtl w:val="0"/>
        </w:rPr>
        <w:t xml:space="preserve">2</w:t>
      </w:r>
      <w:r w:rsidDel="00000000" w:rsidR="00000000" w:rsidRPr="00000000">
        <w:rPr>
          <w:rFonts w:ascii="Arial" w:cs="Arial" w:eastAsia="Arial" w:hAnsi="Arial"/>
          <w:b w:val="1"/>
          <w:bCs w:val="1"/>
          <w:shd w:fill="f7fafc" w:val="clear"/>
          <w:rtl w:val="0"/>
        </w:rPr>
        <w:t xml:space="preserve"> || ... || x</w:t>
      </w:r>
      <w:r w:rsidDel="00000000" w:rsidR="00000000" w:rsidRPr="00000000">
        <w:rPr>
          <w:rFonts w:ascii="Arial" w:cs="Arial" w:eastAsia="Arial" w:hAnsi="Arial"/>
          <w:b w:val="1"/>
          <w:bCs w:val="1"/>
          <w:shd w:fill="f7fafc" w:val="clear"/>
          <w:vertAlign w:val="subscript"/>
          <w:rtl w:val="0"/>
        </w:rPr>
        <w:t xml:space="preserve">n</w:t>
      </w:r>
      <w:r w:rsidDel="00000000" w:rsidR="00000000" w:rsidRPr="00000000">
        <w:rPr>
          <w:rFonts w:ascii="Arial" w:cs="Arial" w:eastAsia="Arial" w:hAnsi="Arial"/>
          <w:b w:val="1"/>
          <w:bCs w:val="1"/>
          <w:shd w:fill="f7fafc" w:val="clear"/>
          <w:rtl w:val="0"/>
        </w:rPr>
        <w:t xml:space="preserve">] + b</w:t>
      </w:r>
      <w:r w:rsidDel="00000000" w:rsidR="00000000" w:rsidRPr="00000000">
        <w:rPr>
          <w:rFonts w:ascii="Arial" w:cs="Arial" w:eastAsia="Arial" w:hAnsi="Arial"/>
          <w:b w:val="1"/>
          <w:bCs w:val="1"/>
          <w:shd w:fill="f7fafc" w:val="clear"/>
          <w:vertAlign w:val="subscript"/>
          <w:rtl w:val="0"/>
        </w:rPr>
        <w:t xml:space="preserve">f</w:t>
      </w:r>
      <w:r w:rsidDel="00000000" w:rsidR="00000000" w:rsidRPr="00000000">
        <w:rPr>
          <w:rFonts w:ascii="Arial" w:cs="Arial" w:eastAsia="Arial" w:hAnsi="Arial"/>
          <w:b w:val="1"/>
          <w:bCs w:val="1"/>
          <w:shd w:fill="f7fafc" w:val="clea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Onde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vertAlign w:val="subscript"/>
          <w:rtl w:val="0"/>
        </w:rPr>
        <w:t xml:space="preserve">i</w:t>
      </w:r>
      <w:r w:rsidDel="00000000" w:rsidR="00000000" w:rsidRPr="00000000">
        <w:rPr>
          <w:rFonts w:ascii="Arial" w:cs="Arial" w:eastAsia="Arial" w:hAnsi="Arial"/>
          <w:rtl w:val="0"/>
        </w:rPr>
        <w:t xml:space="preserve"> representa os mapas de características das camadas selecionadas do ViT, o operador </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rtl w:val="0"/>
        </w:rPr>
        <w:t xml:space="preserve"> indica a concatenação vetorial, </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vertAlign w:val="subscript"/>
          <w:rtl w:val="0"/>
        </w:rPr>
        <w:t xml:space="preserve">f</w:t>
      </w:r>
      <w:r w:rsidDel="00000000" w:rsidR="00000000" w:rsidRPr="00000000">
        <w:rPr>
          <w:rFonts w:ascii="Arial" w:cs="Arial" w:eastAsia="Arial" w:hAnsi="Arial"/>
          <w:rtl w:val="0"/>
        </w:rPr>
        <w:t xml:space="preserve"> é a matriz de pesos da projeção linear, </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vertAlign w:val="subscript"/>
          <w:rtl w:val="0"/>
        </w:rPr>
        <w:t xml:space="preserve">f</w:t>
      </w:r>
      <w:r w:rsidDel="00000000" w:rsidR="00000000" w:rsidRPr="00000000">
        <w:rPr>
          <w:rFonts w:ascii="Arial" w:cs="Arial" w:eastAsia="Arial" w:hAnsi="Arial"/>
          <w:rtl w:val="0"/>
        </w:rPr>
        <w:t xml:space="preserve"> é o vetor de viés e </w:t>
      </w:r>
      <w:r w:rsidDel="00000000" w:rsidR="00000000" w:rsidRPr="00000000">
        <w:rPr>
          <w:rFonts w:ascii="Arial" w:cs="Arial" w:eastAsia="Arial" w:hAnsi="Arial"/>
          <w:i w:val="1"/>
          <w:iCs w:val="1"/>
          <w:rtl w:val="0"/>
        </w:rPr>
        <w:t xml:space="preserve">σ</w:t>
      </w:r>
      <w:r w:rsidDel="00000000" w:rsidR="00000000" w:rsidRPr="00000000">
        <w:rPr>
          <w:rFonts w:ascii="Arial" w:cs="Arial" w:eastAsia="Arial" w:hAnsi="Arial"/>
          <w:rtl w:val="0"/>
        </w:rPr>
        <w:t xml:space="preserve"> denota a função de ativação não-linear. O modelo incorpora também o componente </w:t>
      </w:r>
      <w:r w:rsidDel="00000000" w:rsidR="00000000" w:rsidRPr="00000000">
        <w:rPr>
          <w:rFonts w:ascii="Arial" w:cs="Arial" w:eastAsia="Arial" w:hAnsi="Arial"/>
          <w:i w:val="1"/>
          <w:iCs w:val="1"/>
          <w:rtl w:val="0"/>
        </w:rPr>
        <w:t xml:space="preserve">AKE-Q</w:t>
      </w:r>
      <w:r w:rsidDel="00000000" w:rsidR="00000000" w:rsidRPr="00000000">
        <w:rPr>
          <w:rFonts w:ascii="Arial" w:cs="Arial" w:eastAsia="Arial" w:hAnsi="Arial"/>
          <w:rtl w:val="0"/>
        </w:rPr>
        <w:t xml:space="preserve"> (Agriculture-Knowledge-Enhanced Q-Former) para alinhamento guiado por base de conhecimento agrícola estruturada, apresentando acurácia de 87,5% no diagnóstico de doenças e 84,5% na identificação de pragas.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75" w:line="300" w:lineRule="auto"/>
        <w:jc w:val="both"/>
        <w:rPr>
          <w:rFonts w:ascii="Arial" w:cs="Arial" w:eastAsia="Arial" w:hAnsi="Arial"/>
        </w:rPr>
      </w:pPr>
      <w:r w:rsidDel="00000000" w:rsidR="00000000" w:rsidRPr="00000000">
        <w:rPr>
          <w:rFonts w:ascii="Arial" w:cs="Arial" w:eastAsia="Arial" w:hAnsi="Arial"/>
          <w:rtl w:val="0"/>
        </w:rPr>
        <w:t xml:space="preserve">Complementarmente, frameworks como o </w:t>
      </w:r>
      <w:r w:rsidDel="00000000" w:rsidR="00000000" w:rsidRPr="00000000">
        <w:rPr>
          <w:rFonts w:ascii="Arial" w:cs="Arial" w:eastAsia="Arial" w:hAnsi="Arial"/>
          <w:b w:val="1"/>
          <w:bCs w:val="1"/>
          <w:rtl w:val="0"/>
        </w:rPr>
        <w:t xml:space="preserve">LPDiag</w:t>
      </w:r>
      <w:r w:rsidDel="00000000" w:rsidR="00000000" w:rsidRPr="00000000">
        <w:rPr>
          <w:rFonts w:ascii="Arial" w:cs="Arial" w:eastAsia="Arial" w:hAnsi="Arial"/>
          <w:rtl w:val="0"/>
        </w:rPr>
        <w:t xml:space="preserve"> (Tomato Leaf Disease Diagnosis) utilizam LLMs para traduzir descrições clínicas de sintomas em representações vetoriais alinhadas a mapas visuais gerados por redes convolucionais espinhais do tipo </w:t>
      </w:r>
      <w:r w:rsidDel="00000000" w:rsidR="00000000" w:rsidRPr="00000000">
        <w:rPr>
          <w:rFonts w:ascii="Arial" w:cs="Arial" w:eastAsia="Arial" w:hAnsi="Arial"/>
          <w:i w:val="1"/>
          <w:iCs w:val="1"/>
          <w:rtl w:val="0"/>
        </w:rPr>
        <w:t xml:space="preserve">Res2Net</w:t>
      </w:r>
      <w:r w:rsidDel="00000000" w:rsidR="00000000" w:rsidRPr="00000000">
        <w:rPr>
          <w:rFonts w:ascii="Arial" w:cs="Arial" w:eastAsia="Arial" w:hAnsi="Arial"/>
          <w:rtl w:val="0"/>
        </w:rPr>
        <w:t xml:space="preserve">, alcançando 98,83% de acurácia em bancos de dados tradicionais. Modelos comerciais aplicados, como o </w:t>
      </w:r>
      <w:r w:rsidDel="00000000" w:rsidR="00000000" w:rsidRPr="00000000">
        <w:rPr>
          <w:rFonts w:ascii="Arial" w:cs="Arial" w:eastAsia="Arial" w:hAnsi="Arial"/>
          <w:i w:val="1"/>
          <w:iCs w:val="1"/>
          <w:rtl w:val="0"/>
        </w:rPr>
        <w:t xml:space="preserve">TMA T-Pest</w:t>
      </w:r>
      <w:r w:rsidDel="00000000" w:rsidR="00000000" w:rsidRPr="00000000">
        <w:rPr>
          <w:rFonts w:ascii="Arial" w:cs="Arial" w:eastAsia="Arial" w:hAnsi="Arial"/>
          <w:rtl w:val="0"/>
        </w:rPr>
        <w:t xml:space="preserve">, realizam a fusão entre sensoriamento por imagem e dados ambientais de campo para identificar pragas precocemente com taxas de precisão entre 88% e 90%, otimizando o uso de defensivos agrícolas.</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2c5282"/>
        </w:rPr>
      </w:pPr>
      <w:r w:rsidDel="00000000" w:rsidR="00000000" w:rsidRPr="00000000">
        <w:rPr>
          <w:rFonts w:ascii="Arial" w:cs="Arial" w:eastAsia="Arial" w:hAnsi="Arial"/>
          <w:color w:val="2c5282"/>
          <w:rtl w:val="0"/>
        </w:rPr>
        <w:t xml:space="preserve">4. Arquitetura de Hardware e Processamento Híbrido: Nuvem vs. Borda (SLMs)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Para mitigar o custo operacional de redes de computação na nuvem em larga escala, o Projeto PlantiumAI adota uma arquitetura híbrida de hardware de baixo custo baseada em microcontroladores distribuídos (ESP32 / ESP32-CAM) atuando na coleta ambiental e captura óptica periódica (ex: sensores DHT22, BH1750, DS18B20 e câmera USB IP67), reportando dados a um gateway local de processamento (Raspberry Pi 3 Model B).</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Na borda, redes convolucionais leves como a </w:t>
      </w:r>
      <w:r w:rsidDel="00000000" w:rsidR="00000000" w:rsidRPr="00000000">
        <w:rPr>
          <w:rFonts w:ascii="Arial" w:cs="Arial" w:eastAsia="Arial" w:hAnsi="Arial"/>
          <w:b w:val="1"/>
          <w:bCs w:val="1"/>
          <w:rtl w:val="0"/>
        </w:rPr>
        <w:t xml:space="preserve">MobileNetV2</w:t>
      </w:r>
      <w:r w:rsidDel="00000000" w:rsidR="00000000" w:rsidRPr="00000000">
        <w:rPr>
          <w:rFonts w:ascii="Arial" w:cs="Arial" w:eastAsia="Arial" w:hAnsi="Arial"/>
          <w:rtl w:val="0"/>
        </w:rPr>
        <w:t xml:space="preserve"> realizam o diagnóstico primário de estresse hídrico/nutricional (93,4% de acurácia), com a aplicação de filtros baseados em Média Móvel Exponencialmente Ponderada (EWMA) para atenuar ruídos de iluminação e reduzir alarmes falsos em 31%. Modelos de detecção de objetos como o </w:t>
      </w:r>
      <w:r w:rsidDel="00000000" w:rsidR="00000000" w:rsidRPr="00000000">
        <w:rPr>
          <w:rFonts w:ascii="Arial" w:cs="Arial" w:eastAsia="Arial" w:hAnsi="Arial"/>
          <w:b w:val="1"/>
          <w:bCs w:val="1"/>
          <w:rtl w:val="0"/>
        </w:rPr>
        <w:t xml:space="preserve">YOLOv8n</w:t>
      </w:r>
      <w:r w:rsidDel="00000000" w:rsidR="00000000" w:rsidRPr="00000000">
        <w:rPr>
          <w:rFonts w:ascii="Arial" w:cs="Arial" w:eastAsia="Arial" w:hAnsi="Arial"/>
          <w:rtl w:val="0"/>
        </w:rPr>
        <w:t xml:space="preserve"> executados localmente no Raspberry Pi atingem um mAP@0.5 de 91,2% com tempo de inferência de apenas 15,6 ms, permitindo identificação de pragas e fitopatógenos offline. A tabela abaixo detalha as trade-offs operacionais entre o processamento em nuvem centralizado e os Modelos de Linguagem de Pequeno Porte (SLMs) quantizados para execução local:</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Atributo Técnico</w:t>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Modelos na Nuvem (Ex: Claude 3.5 Sonnet)</w:t>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18"/>
                <w:szCs w:val="18"/>
                <w:shd w:fill="auto" w:val="clear"/>
              </w:rPr>
            </w:pPr>
            <w:r w:rsidDel="00000000" w:rsidR="00000000" w:rsidRPr="00000000">
              <w:rPr>
                <w:rFonts w:ascii="Arial" w:cs="Arial" w:eastAsia="Arial" w:hAnsi="Arial"/>
                <w:color w:val="ffffff"/>
                <w:sz w:val="18"/>
                <w:szCs w:val="18"/>
                <w:shd w:fill="auto" w:val="clear"/>
                <w:rtl w:val="0"/>
              </w:rPr>
              <w:t xml:space="preserve">Modelos Locais (SLMs Quantizados - Borda)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Custo de Processamento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Variável por volume de tokens (US$ 3,00/M input; US$ 15,00/M output)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Custo fixo nulo após a aquisição e implantação do hardware local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Latência de Inferência</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Variável e sujeita à transmissão da rede (800 ms a 2500 ms)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Extremamente baixa e estável na borda (50 ms a 200 ms)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Conectividade Requerida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Crítica; instabilidades de rede interrompem o fluxo de decisão</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Nula; suporte total à execução offline ou em ambientes off-grid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shd w:fill="auto" w:val="clear"/>
              </w:rPr>
            </w:pPr>
            <w:r w:rsidDel="00000000" w:rsidR="00000000" w:rsidRPr="00000000">
              <w:rPr>
                <w:rFonts w:ascii="Arial" w:cs="Arial" w:eastAsia="Arial" w:hAnsi="Arial"/>
                <w:b w:val="1"/>
                <w:bCs w:val="1"/>
                <w:sz w:val="18"/>
                <w:szCs w:val="18"/>
                <w:shd w:fill="auto" w:val="clear"/>
                <w:rtl w:val="0"/>
              </w:rPr>
              <w:t xml:space="preserve">Privacidade de Dados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Média; dados e imagens foliares são enviados para servidores externos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shd w:fill="auto" w:val="clear"/>
              </w:rPr>
            </w:pPr>
            <w:r w:rsidDel="00000000" w:rsidR="00000000" w:rsidRPr="00000000">
              <w:rPr>
                <w:rFonts w:ascii="Arial" w:cs="Arial" w:eastAsia="Arial" w:hAnsi="Arial"/>
                <w:sz w:val="18"/>
                <w:szCs w:val="18"/>
                <w:shd w:fill="auto" w:val="clear"/>
                <w:rtl w:val="0"/>
              </w:rPr>
              <w:t xml:space="preserve">Máxima; armazenamento e processamento retidos no perímetro local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Requisitos de Memória</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Gerenciados pelo provedor da API de forma transparente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Compacto; quantização para 4 bits exige apenas ~3,5 GB de VRAM (Modelos 7B)</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50" w:before="375" w:lineRule="auto"/>
        <w:rPr>
          <w:rFonts w:ascii="Arial" w:cs="Arial" w:eastAsia="Arial" w:hAnsi="Arial"/>
          <w:color w:val="2c5282"/>
        </w:rPr>
      </w:pPr>
      <w:r w:rsidDel="00000000" w:rsidR="00000000" w:rsidRPr="00000000">
        <w:rPr>
          <w:rFonts w:ascii="Arial" w:cs="Arial" w:eastAsia="Arial" w:hAnsi="Arial"/>
          <w:color w:val="2c5282"/>
          <w:rtl w:val="0"/>
        </w:rPr>
        <w:t xml:space="preserve">5. Agricultura Vertical Urbana: Viabilidade Econômica e Gestão de Recursos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O mercado global de agricultura vertical baseado em contêineres marítimos projeta um crescimento expressivo, partindo de uma avaliação de USD 1,38 bilheiro em 2025 para USD 1,60 bilhão em 2026, com uma taxa de crescimento anual composta (CAGR) de 15,8% estimada até 2034. Esse modelo comercial se justifica pela alta flexibilidade de escalonamento espacial, eliminação de burocracias de zoneamento imobiliário tradicional e proximidade dos centros de consumo em canais de varejo especializados (como a plataforma de conexões comerciais </w:t>
      </w:r>
      <w:r w:rsidDel="00000000" w:rsidR="00000000" w:rsidRPr="00000000">
        <w:rPr>
          <w:rFonts w:ascii="Arial" w:cs="Arial" w:eastAsia="Arial" w:hAnsi="Arial"/>
          <w:i w:val="1"/>
          <w:iCs w:val="1"/>
          <w:rtl w:val="0"/>
        </w:rPr>
        <w:t xml:space="preserve">VarejoIN</w:t>
      </w:r>
      <w:r w:rsidDel="00000000" w:rsidR="00000000" w:rsidRPr="00000000">
        <w:rPr>
          <w:rFonts w:ascii="Arial" w:cs="Arial" w:eastAsia="Arial" w:hAnsi="Arial"/>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Contudo, a demanda energética de instalações sob o paradigma de Agricultura em Ambiente Controlado (CEA) constitui um severo gargalo operacional, com consumos elétricos que variam historicamente entre 850 e 1.150 kWh/m² ao ano devido ao uso intensivo de climatização (HVAC) e luminárias LED de cultivo artificial. Para solucionar essa restrição, o PlantiumAI preconiza duas abordagens: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jc w:val="both"/>
      </w:pPr>
      <w:r w:rsidDel="00000000" w:rsidR="00000000" w:rsidRPr="00000000">
        <w:rPr>
          <w:rFonts w:ascii="Arial" w:cs="Arial" w:eastAsia="Arial" w:hAnsi="Arial"/>
          <w:b w:val="1"/>
          <w:bCs w:val="1"/>
          <w:rtl w:val="0"/>
        </w:rPr>
        <w:t xml:space="preserve">Estufas Térmicas Autossustentáveis:</w:t>
      </w:r>
      <w:r w:rsidDel="00000000" w:rsidR="00000000" w:rsidRPr="00000000">
        <w:rPr>
          <w:rFonts w:ascii="Arial" w:cs="Arial" w:eastAsia="Arial" w:hAnsi="Arial"/>
          <w:rtl w:val="0"/>
        </w:rPr>
        <w:t xml:space="preserve"> Inspiração em frameworks de engenharia que capturam o excedente térmico solar diurno por meio de materiais de mudança de fase para liberação controlada durante a noite, reduzindo os gastos com aquecimento ativo.</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300" w:lineRule="auto"/>
        <w:ind w:left="300" w:hanging="360"/>
        <w:jc w:val="both"/>
      </w:pPr>
      <w:r w:rsidDel="00000000" w:rsidR="00000000" w:rsidRPr="00000000">
        <w:rPr>
          <w:rFonts w:ascii="Arial" w:cs="Arial" w:eastAsia="Arial" w:hAnsi="Arial"/>
          <w:b w:val="1"/>
          <w:bCs w:val="1"/>
          <w:rtl w:val="0"/>
        </w:rPr>
        <w:t xml:space="preserve">Gerenciamento do Lado da Demanda (DSM):</w:t>
      </w:r>
      <w:r w:rsidDel="00000000" w:rsidR="00000000" w:rsidRPr="00000000">
        <w:rPr>
          <w:rFonts w:ascii="Arial" w:cs="Arial" w:eastAsia="Arial" w:hAnsi="Arial"/>
          <w:rtl w:val="0"/>
        </w:rPr>
        <w:t xml:space="preserve"> Algoritmos inteligentes que integram previsões meteorológicas e matrizes tarifárias de energia locais para deslocar o acionamento de cargas críticas (bombas e iluminação artificial) para períodos de menor custo (off-peak), reduzindo o custo elétrico entre 15% e 30%.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300" w:lineRule="auto"/>
        <w:jc w:val="both"/>
        <w:rPr>
          <w:rFonts w:ascii="Arial" w:cs="Arial" w:eastAsia="Arial" w:hAnsi="Arial"/>
        </w:rPr>
      </w:pPr>
      <w:r w:rsidDel="00000000" w:rsidR="00000000" w:rsidRPr="00000000">
        <w:rPr>
          <w:rFonts w:ascii="Arial" w:cs="Arial" w:eastAsia="Arial" w:hAnsi="Arial"/>
          <w:rtl w:val="0"/>
        </w:rPr>
        <w:t xml:space="preserve">Para a viabilização do fluxo de telemetria em áreas com infraestrutura precária de redes móveis terrestres de telecomunicação no estado de Goiás, a tabela abaixo mapeia as opções de conectividade via satélite estáveis por meio da constelação Starlink:</w:t>
      </w:r>
    </w:p>
    <w:p w:rsidR="00000000" w:rsidDel="00000000" w:rsidP="00000000" w:rsidRDefault="00000000" w:rsidRPr="00000000" w14:paraId="0000002D">
      <w:pPr>
        <w:rPr/>
      </w:pPr>
      <w:r w:rsidDel="00000000" w:rsidR="00000000" w:rsidRPr="00000000">
        <w:rPr>
          <w:rtl w:val="0"/>
        </w:rPr>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tcPr>
          <w:p w:rsidR="00000000" w:rsidDel="00000000" w:rsidP="00000000" w:rsidRDefault="00000000" w:rsidRPr="00000000" w14:paraId="0000002E">
            <w:pPr>
              <w:spacing w:after="150" w:before="150" w:lineRule="auto"/>
              <w:rPr/>
            </w:pPr>
            <w:r w:rsidDel="00000000" w:rsidR="00000000" w:rsidRPr="00000000">
              <w:rPr>
                <w:rFonts w:ascii="Arial" w:cs="Arial" w:eastAsia="Arial" w:hAnsi="Arial"/>
                <w:color w:val="ffffff"/>
                <w:sz w:val="18"/>
                <w:szCs w:val="18"/>
                <w:rtl w:val="0"/>
              </w:rPr>
              <w:t xml:space="preserve">Plano Starlink</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tcPr>
          <w:p w:rsidR="00000000" w:rsidDel="00000000" w:rsidP="00000000" w:rsidRDefault="00000000" w:rsidRPr="00000000" w14:paraId="0000002F">
            <w:pPr>
              <w:spacing w:after="150" w:before="150" w:lineRule="auto"/>
              <w:rPr/>
            </w:pPr>
            <w:r w:rsidDel="00000000" w:rsidR="00000000" w:rsidRPr="00000000">
              <w:rPr>
                <w:rFonts w:ascii="Arial" w:cs="Arial" w:eastAsia="Arial" w:hAnsi="Arial"/>
                <w:color w:val="ffffff"/>
                <w:sz w:val="18"/>
                <w:szCs w:val="18"/>
                <w:rtl w:val="0"/>
              </w:rPr>
              <w:t xml:space="preserve">Capacidade de Dados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tcPr>
          <w:p w:rsidR="00000000" w:rsidDel="00000000" w:rsidP="00000000" w:rsidRDefault="00000000" w:rsidRPr="00000000" w14:paraId="00000030">
            <w:pPr>
              <w:spacing w:after="150" w:before="150" w:lineRule="auto"/>
              <w:rPr/>
            </w:pPr>
            <w:r w:rsidDel="00000000" w:rsidR="00000000" w:rsidRPr="00000000">
              <w:rPr>
                <w:rFonts w:ascii="Arial" w:cs="Arial" w:eastAsia="Arial" w:hAnsi="Arial"/>
                <w:color w:val="ffffff"/>
                <w:sz w:val="18"/>
                <w:szCs w:val="18"/>
                <w:rtl w:val="0"/>
              </w:rPr>
              <w:t xml:space="preserve">Velocidade Média</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tcPr>
          <w:p w:rsidR="00000000" w:rsidDel="00000000" w:rsidP="00000000" w:rsidRDefault="00000000" w:rsidRPr="00000000" w14:paraId="00000031">
            <w:pPr>
              <w:spacing w:after="150" w:before="150" w:lineRule="auto"/>
              <w:rPr/>
            </w:pPr>
            <w:r w:rsidDel="00000000" w:rsidR="00000000" w:rsidRPr="00000000">
              <w:rPr>
                <w:rFonts w:ascii="Arial" w:cs="Arial" w:eastAsia="Arial" w:hAnsi="Arial"/>
                <w:color w:val="ffffff"/>
                <w:sz w:val="18"/>
                <w:szCs w:val="18"/>
                <w:rtl w:val="0"/>
              </w:rPr>
              <w:t xml:space="preserve">Mensalidade (R$)</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2c5282" w:val="clear"/>
            <w:tcMar>
              <w:top w:w="150.0" w:type="dxa"/>
              <w:left w:w="150.0" w:type="dxa"/>
              <w:bottom w:w="150.0" w:type="dxa"/>
              <w:right w:w="150.0" w:type="dxa"/>
            </w:tcMar>
          </w:tcPr>
          <w:p w:rsidR="00000000" w:rsidDel="00000000" w:rsidP="00000000" w:rsidRDefault="00000000" w:rsidRPr="00000000" w14:paraId="00000032">
            <w:pPr>
              <w:spacing w:after="150" w:before="150" w:lineRule="auto"/>
              <w:rPr/>
            </w:pPr>
            <w:r w:rsidDel="00000000" w:rsidR="00000000" w:rsidRPr="00000000">
              <w:rPr>
                <w:rFonts w:ascii="Arial" w:cs="Arial" w:eastAsia="Arial" w:hAnsi="Arial"/>
                <w:color w:val="ffffff"/>
                <w:sz w:val="18"/>
                <w:szCs w:val="18"/>
                <w:rtl w:val="0"/>
              </w:rPr>
              <w:t xml:space="preserve">Hardware Inicial (R$)</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tcMar>
              <w:top w:w="150.0" w:type="dxa"/>
              <w:left w:w="150.0" w:type="dxa"/>
              <w:bottom w:w="150.0" w:type="dxa"/>
              <w:right w:w="150.0" w:type="dxa"/>
            </w:tcMar>
          </w:tcPr>
          <w:p w:rsidR="00000000" w:rsidDel="00000000" w:rsidP="00000000" w:rsidRDefault="00000000" w:rsidRPr="00000000" w14:paraId="00000033">
            <w:pPr>
              <w:spacing w:after="150" w:before="150" w:lineRule="auto"/>
              <w:rPr/>
            </w:pPr>
            <w:r w:rsidDel="00000000" w:rsidR="00000000" w:rsidRPr="00000000">
              <w:rPr>
                <w:rFonts w:ascii="Arial" w:cs="Arial" w:eastAsia="Arial" w:hAnsi="Arial"/>
                <w:b w:val="1"/>
                <w:bCs w:val="1"/>
                <w:sz w:val="18"/>
                <w:szCs w:val="18"/>
                <w:rtl w:val="0"/>
              </w:rPr>
              <w:t xml:space="preserve">Residential Max</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tcMar>
              <w:top w:w="150.0" w:type="dxa"/>
              <w:left w:w="150.0" w:type="dxa"/>
              <w:bottom w:w="150.0" w:type="dxa"/>
              <w:right w:w="150.0" w:type="dxa"/>
            </w:tcMar>
          </w:tcPr>
          <w:p w:rsidR="00000000" w:rsidDel="00000000" w:rsidP="00000000" w:rsidRDefault="00000000" w:rsidRPr="00000000" w14:paraId="00000034">
            <w:pPr>
              <w:spacing w:after="150" w:before="150" w:lineRule="auto"/>
              <w:rPr/>
            </w:pPr>
            <w:r w:rsidDel="00000000" w:rsidR="00000000" w:rsidRPr="00000000">
              <w:rPr>
                <w:rFonts w:ascii="Arial" w:cs="Arial" w:eastAsia="Arial" w:hAnsi="Arial"/>
                <w:sz w:val="18"/>
                <w:szCs w:val="18"/>
                <w:rtl w:val="0"/>
              </w:rPr>
              <w:t xml:space="preserve">Ilimitado (Fixo)</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tcMar>
              <w:top w:w="150.0" w:type="dxa"/>
              <w:left w:w="150.0" w:type="dxa"/>
              <w:bottom w:w="150.0" w:type="dxa"/>
              <w:right w:w="150.0" w:type="dxa"/>
            </w:tcMar>
          </w:tcPr>
          <w:p w:rsidR="00000000" w:rsidDel="00000000" w:rsidP="00000000" w:rsidRDefault="00000000" w:rsidRPr="00000000" w14:paraId="00000035">
            <w:pPr>
              <w:spacing w:after="150" w:before="150" w:lineRule="auto"/>
              <w:rPr/>
            </w:pPr>
            <w:r w:rsidDel="00000000" w:rsidR="00000000" w:rsidRPr="00000000">
              <w:rPr>
                <w:rFonts w:ascii="Arial" w:cs="Arial" w:eastAsia="Arial" w:hAnsi="Arial"/>
                <w:sz w:val="18"/>
                <w:szCs w:val="18"/>
                <w:rtl w:val="0"/>
              </w:rPr>
              <w:t xml:space="preserve">Até 300 Mbps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tcMar>
              <w:top w:w="150.0" w:type="dxa"/>
              <w:left w:w="150.0" w:type="dxa"/>
              <w:bottom w:w="150.0" w:type="dxa"/>
              <w:right w:w="150.0" w:type="dxa"/>
            </w:tcMar>
          </w:tcPr>
          <w:p w:rsidR="00000000" w:rsidDel="00000000" w:rsidP="00000000" w:rsidRDefault="00000000" w:rsidRPr="00000000" w14:paraId="00000036">
            <w:pPr>
              <w:spacing w:after="150" w:before="150" w:lineRule="auto"/>
              <w:rPr/>
            </w:pPr>
            <w:r w:rsidDel="00000000" w:rsidR="00000000" w:rsidRPr="00000000">
              <w:rPr>
                <w:rFonts w:ascii="Arial" w:cs="Arial" w:eastAsia="Arial" w:hAnsi="Arial"/>
                <w:sz w:val="18"/>
                <w:szCs w:val="18"/>
                <w:rtl w:val="0"/>
              </w:rPr>
              <w:t xml:space="preserve">R$ 660,00</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tcMar>
              <w:top w:w="150.0" w:type="dxa"/>
              <w:left w:w="150.0" w:type="dxa"/>
              <w:bottom w:w="150.0" w:type="dxa"/>
              <w:right w:w="150.0" w:type="dxa"/>
            </w:tcMar>
          </w:tcPr>
          <w:p w:rsidR="00000000" w:rsidDel="00000000" w:rsidP="00000000" w:rsidRDefault="00000000" w:rsidRPr="00000000" w14:paraId="00000037">
            <w:pPr>
              <w:spacing w:after="150" w:before="150" w:lineRule="auto"/>
              <w:rPr/>
            </w:pPr>
            <w:r w:rsidDel="00000000" w:rsidR="00000000" w:rsidRPr="00000000">
              <w:rPr>
                <w:rFonts w:ascii="Arial" w:cs="Arial" w:eastAsia="Arial" w:hAnsi="Arial"/>
                <w:sz w:val="18"/>
                <w:szCs w:val="18"/>
                <w:rtl w:val="0"/>
              </w:rPr>
              <w:t xml:space="preserve">R$ 1.920,00</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tcPr>
          <w:p w:rsidR="00000000" w:rsidDel="00000000" w:rsidP="00000000" w:rsidRDefault="00000000" w:rsidRPr="00000000" w14:paraId="00000038">
            <w:pPr>
              <w:spacing w:after="150" w:before="150" w:lineRule="auto"/>
              <w:rPr/>
            </w:pPr>
            <w:r w:rsidDel="00000000" w:rsidR="00000000" w:rsidRPr="00000000">
              <w:rPr>
                <w:rFonts w:ascii="Arial" w:cs="Arial" w:eastAsia="Arial" w:hAnsi="Arial"/>
                <w:b w:val="1"/>
                <w:bCs w:val="1"/>
                <w:sz w:val="18"/>
                <w:szCs w:val="18"/>
                <w:rtl w:val="0"/>
              </w:rPr>
              <w:t xml:space="preserve">Residential 200 Mbps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tcPr>
          <w:p w:rsidR="00000000" w:rsidDel="00000000" w:rsidP="00000000" w:rsidRDefault="00000000" w:rsidRPr="00000000" w14:paraId="00000039">
            <w:pPr>
              <w:spacing w:after="150" w:before="150" w:lineRule="auto"/>
              <w:rPr/>
            </w:pPr>
            <w:r w:rsidDel="00000000" w:rsidR="00000000" w:rsidRPr="00000000">
              <w:rPr>
                <w:rFonts w:ascii="Arial" w:cs="Arial" w:eastAsia="Arial" w:hAnsi="Arial"/>
                <w:sz w:val="18"/>
                <w:szCs w:val="18"/>
                <w:rtl w:val="0"/>
              </w:rPr>
              <w:t xml:space="preserve">Ilimitado (Fixo)</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tcPr>
          <w:p w:rsidR="00000000" w:rsidDel="00000000" w:rsidP="00000000" w:rsidRDefault="00000000" w:rsidRPr="00000000" w14:paraId="0000003A">
            <w:pPr>
              <w:spacing w:after="150" w:before="150" w:lineRule="auto"/>
              <w:rPr/>
            </w:pPr>
            <w:r w:rsidDel="00000000" w:rsidR="00000000" w:rsidRPr="00000000">
              <w:rPr>
                <w:rFonts w:ascii="Arial" w:cs="Arial" w:eastAsia="Arial" w:hAnsi="Arial"/>
                <w:sz w:val="18"/>
                <w:szCs w:val="18"/>
                <w:rtl w:val="0"/>
              </w:rPr>
              <w:t xml:space="preserve">Até 200 Mbps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tcPr>
          <w:p w:rsidR="00000000" w:rsidDel="00000000" w:rsidP="00000000" w:rsidRDefault="00000000" w:rsidRPr="00000000" w14:paraId="0000003B">
            <w:pPr>
              <w:spacing w:after="150" w:before="150" w:lineRule="auto"/>
              <w:rPr/>
            </w:pPr>
            <w:r w:rsidDel="00000000" w:rsidR="00000000" w:rsidRPr="00000000">
              <w:rPr>
                <w:rFonts w:ascii="Arial" w:cs="Arial" w:eastAsia="Arial" w:hAnsi="Arial"/>
                <w:sz w:val="18"/>
                <w:szCs w:val="18"/>
                <w:rtl w:val="0"/>
              </w:rPr>
              <w:t xml:space="preserve">R$ 440,00</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tcPr>
          <w:p w:rsidR="00000000" w:rsidDel="00000000" w:rsidP="00000000" w:rsidRDefault="00000000" w:rsidRPr="00000000" w14:paraId="0000003C">
            <w:pPr>
              <w:spacing w:after="150" w:before="150" w:lineRule="auto"/>
              <w:rPr/>
            </w:pPr>
            <w:r w:rsidDel="00000000" w:rsidR="00000000" w:rsidRPr="00000000">
              <w:rPr>
                <w:rFonts w:ascii="Arial" w:cs="Arial" w:eastAsia="Arial" w:hAnsi="Arial"/>
                <w:sz w:val="18"/>
                <w:szCs w:val="18"/>
                <w:rtl w:val="0"/>
              </w:rPr>
              <w:t xml:space="preserve">R$ 1.920,00</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tcMar>
              <w:top w:w="150.0" w:type="dxa"/>
              <w:left w:w="150.0" w:type="dxa"/>
              <w:bottom w:w="150.0" w:type="dxa"/>
              <w:right w:w="150.0" w:type="dxa"/>
            </w:tcMar>
          </w:tcPr>
          <w:p w:rsidR="00000000" w:rsidDel="00000000" w:rsidP="00000000" w:rsidRDefault="00000000" w:rsidRPr="00000000" w14:paraId="0000003D">
            <w:pPr>
              <w:spacing w:after="150" w:before="150" w:lineRule="auto"/>
              <w:rPr/>
            </w:pPr>
            <w:r w:rsidDel="00000000" w:rsidR="00000000" w:rsidRPr="00000000">
              <w:rPr>
                <w:rFonts w:ascii="Arial" w:cs="Arial" w:eastAsia="Arial" w:hAnsi="Arial"/>
                <w:b w:val="1"/>
                <w:bCs w:val="1"/>
                <w:sz w:val="18"/>
                <w:szCs w:val="18"/>
                <w:rtl w:val="0"/>
              </w:rPr>
              <w:t xml:space="preserve">Residential 100 Mbps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tcMar>
              <w:top w:w="150.0" w:type="dxa"/>
              <w:left w:w="150.0" w:type="dxa"/>
              <w:bottom w:w="150.0" w:type="dxa"/>
              <w:right w:w="150.0" w:type="dxa"/>
            </w:tcMar>
          </w:tcPr>
          <w:p w:rsidR="00000000" w:rsidDel="00000000" w:rsidP="00000000" w:rsidRDefault="00000000" w:rsidRPr="00000000" w14:paraId="0000003E">
            <w:pPr>
              <w:spacing w:after="150" w:before="150" w:lineRule="auto"/>
              <w:rPr/>
            </w:pPr>
            <w:r w:rsidDel="00000000" w:rsidR="00000000" w:rsidRPr="00000000">
              <w:rPr>
                <w:rFonts w:ascii="Arial" w:cs="Arial" w:eastAsia="Arial" w:hAnsi="Arial"/>
                <w:sz w:val="18"/>
                <w:szCs w:val="18"/>
                <w:rtl w:val="0"/>
              </w:rPr>
              <w:t xml:space="preserve">Ilimitado (Fixo)</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tcMar>
              <w:top w:w="150.0" w:type="dxa"/>
              <w:left w:w="150.0" w:type="dxa"/>
              <w:bottom w:w="150.0" w:type="dxa"/>
              <w:right w:w="150.0" w:type="dxa"/>
            </w:tcMar>
          </w:tcPr>
          <w:p w:rsidR="00000000" w:rsidDel="00000000" w:rsidP="00000000" w:rsidRDefault="00000000" w:rsidRPr="00000000" w14:paraId="0000003F">
            <w:pPr>
              <w:spacing w:after="150" w:before="150" w:lineRule="auto"/>
              <w:rPr/>
            </w:pPr>
            <w:r w:rsidDel="00000000" w:rsidR="00000000" w:rsidRPr="00000000">
              <w:rPr>
                <w:rFonts w:ascii="Arial" w:cs="Arial" w:eastAsia="Arial" w:hAnsi="Arial"/>
                <w:sz w:val="18"/>
                <w:szCs w:val="18"/>
                <w:rtl w:val="0"/>
              </w:rPr>
              <w:t xml:space="preserve">Até 100 Mbps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tcMar>
              <w:top w:w="150.0" w:type="dxa"/>
              <w:left w:w="150.0" w:type="dxa"/>
              <w:bottom w:w="150.0" w:type="dxa"/>
              <w:right w:w="150.0" w:type="dxa"/>
            </w:tcMar>
          </w:tcPr>
          <w:p w:rsidR="00000000" w:rsidDel="00000000" w:rsidP="00000000" w:rsidRDefault="00000000" w:rsidRPr="00000000" w14:paraId="00000040">
            <w:pPr>
              <w:spacing w:after="150" w:before="150" w:lineRule="auto"/>
              <w:rPr/>
            </w:pPr>
            <w:r w:rsidDel="00000000" w:rsidR="00000000" w:rsidRPr="00000000">
              <w:rPr>
                <w:rFonts w:ascii="Arial" w:cs="Arial" w:eastAsia="Arial" w:hAnsi="Arial"/>
                <w:sz w:val="18"/>
                <w:szCs w:val="18"/>
                <w:rtl w:val="0"/>
              </w:rPr>
              <w:t xml:space="preserve">R$ 275,00</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tcMar>
              <w:top w:w="150.0" w:type="dxa"/>
              <w:left w:w="150.0" w:type="dxa"/>
              <w:bottom w:w="150.0" w:type="dxa"/>
              <w:right w:w="150.0" w:type="dxa"/>
            </w:tcMar>
          </w:tcPr>
          <w:p w:rsidR="00000000" w:rsidDel="00000000" w:rsidP="00000000" w:rsidRDefault="00000000" w:rsidRPr="00000000" w14:paraId="00000041">
            <w:pPr>
              <w:spacing w:after="150" w:before="150" w:lineRule="auto"/>
              <w:rPr/>
            </w:pPr>
            <w:r w:rsidDel="00000000" w:rsidR="00000000" w:rsidRPr="00000000">
              <w:rPr>
                <w:rFonts w:ascii="Arial" w:cs="Arial" w:eastAsia="Arial" w:hAnsi="Arial"/>
                <w:sz w:val="18"/>
                <w:szCs w:val="18"/>
                <w:rtl w:val="0"/>
              </w:rPr>
              <w:t xml:space="preserve">R$ 1.375,00</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tcPr>
          <w:p w:rsidR="00000000" w:rsidDel="00000000" w:rsidP="00000000" w:rsidRDefault="00000000" w:rsidRPr="00000000" w14:paraId="00000042">
            <w:pPr>
              <w:spacing w:after="150" w:before="150" w:lineRule="auto"/>
              <w:rPr/>
            </w:pPr>
            <w:r w:rsidDel="00000000" w:rsidR="00000000" w:rsidRPr="00000000">
              <w:rPr>
                <w:rFonts w:ascii="Arial" w:cs="Arial" w:eastAsia="Arial" w:hAnsi="Arial"/>
                <w:b w:val="1"/>
                <w:bCs w:val="1"/>
                <w:sz w:val="18"/>
                <w:szCs w:val="18"/>
                <w:rtl w:val="0"/>
              </w:rPr>
              <w:t xml:space="preserve">Fixed Site Business 50GB</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tcPr>
          <w:p w:rsidR="00000000" w:rsidDel="00000000" w:rsidP="00000000" w:rsidRDefault="00000000" w:rsidRPr="00000000" w14:paraId="00000043">
            <w:pPr>
              <w:spacing w:after="150" w:before="150" w:lineRule="auto"/>
              <w:rPr/>
            </w:pPr>
            <w:r w:rsidDel="00000000" w:rsidR="00000000" w:rsidRPr="00000000">
              <w:rPr>
                <w:rFonts w:ascii="Arial" w:cs="Arial" w:eastAsia="Arial" w:hAnsi="Arial"/>
                <w:sz w:val="18"/>
                <w:szCs w:val="18"/>
                <w:rtl w:val="0"/>
              </w:rPr>
              <w:t xml:space="preserve">Franquia de 50 GB</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tcPr>
          <w:p w:rsidR="00000000" w:rsidDel="00000000" w:rsidP="00000000" w:rsidRDefault="00000000" w:rsidRPr="00000000" w14:paraId="00000044">
            <w:pPr>
              <w:spacing w:after="150" w:before="150" w:lineRule="auto"/>
              <w:rPr/>
            </w:pPr>
            <w:r w:rsidDel="00000000" w:rsidR="00000000" w:rsidRPr="00000000">
              <w:rPr>
                <w:rFonts w:ascii="Arial" w:cs="Arial" w:eastAsia="Arial" w:hAnsi="Arial"/>
                <w:sz w:val="18"/>
                <w:szCs w:val="18"/>
                <w:rtl w:val="0"/>
              </w:rPr>
              <w:t xml:space="preserve">Alta Prioridade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tcPr>
          <w:p w:rsidR="00000000" w:rsidDel="00000000" w:rsidP="00000000" w:rsidRDefault="00000000" w:rsidRPr="00000000" w14:paraId="00000045">
            <w:pPr>
              <w:spacing w:after="150" w:before="150" w:lineRule="auto"/>
              <w:rPr/>
            </w:pPr>
            <w:r w:rsidDel="00000000" w:rsidR="00000000" w:rsidRPr="00000000">
              <w:rPr>
                <w:rFonts w:ascii="Arial" w:cs="Arial" w:eastAsia="Arial" w:hAnsi="Arial"/>
                <w:sz w:val="18"/>
                <w:szCs w:val="18"/>
                <w:rtl w:val="0"/>
              </w:rPr>
              <w:t xml:space="preserve">R$ 302,50</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tcPr>
          <w:p w:rsidR="00000000" w:rsidDel="00000000" w:rsidP="00000000" w:rsidRDefault="00000000" w:rsidRPr="00000000" w14:paraId="00000046">
            <w:pPr>
              <w:spacing w:after="150" w:before="150" w:lineRule="auto"/>
              <w:rPr/>
            </w:pPr>
            <w:r w:rsidDel="00000000" w:rsidR="00000000" w:rsidRPr="00000000">
              <w:rPr>
                <w:rFonts w:ascii="Arial" w:cs="Arial" w:eastAsia="Arial" w:hAnsi="Arial"/>
                <w:sz w:val="18"/>
                <w:szCs w:val="18"/>
                <w:rtl w:val="0"/>
              </w:rPr>
              <w:t xml:space="preserve">R$ 1.920,00</w:t>
            </w:r>
            <w:r w:rsidDel="00000000" w:rsidR="00000000" w:rsidRPr="00000000">
              <w:rPr>
                <w:rtl w:val="0"/>
              </w:rPr>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50" w:before="375" w:lineRule="auto"/>
        <w:rPr>
          <w:rFonts w:ascii="Arial" w:cs="Arial" w:eastAsia="Arial" w:hAnsi="Arial"/>
          <w:color w:val="2c5282"/>
        </w:rPr>
      </w:pPr>
      <w:r w:rsidDel="00000000" w:rsidR="00000000" w:rsidRPr="00000000">
        <w:rPr>
          <w:rFonts w:ascii="Arial" w:cs="Arial" w:eastAsia="Arial" w:hAnsi="Arial"/>
          <w:color w:val="2c5282"/>
          <w:rtl w:val="0"/>
        </w:rPr>
        <w:t xml:space="preserve">6. Conceito Explicado de Forma Simples (Visão de Negócios e Sustentabilidade)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Para traduzir a complexidade do sistema a um produtor ou investidor leigo, o PlantiumAI funciona como uma </w:t>
      </w:r>
      <w:r w:rsidDel="00000000" w:rsidR="00000000" w:rsidRPr="00000000">
        <w:rPr>
          <w:rFonts w:ascii="Arial" w:cs="Arial" w:eastAsia="Arial" w:hAnsi="Arial"/>
          <w:b w:val="1"/>
          <w:bCs w:val="1"/>
          <w:rtl w:val="0"/>
        </w:rPr>
        <w:t xml:space="preserve">"babá eletrônica inteligente"</w:t>
      </w:r>
      <w:r w:rsidDel="00000000" w:rsidR="00000000" w:rsidRPr="00000000">
        <w:rPr>
          <w:rFonts w:ascii="Arial" w:cs="Arial" w:eastAsia="Arial" w:hAnsi="Arial"/>
          <w:rtl w:val="0"/>
        </w:rPr>
        <w:t xml:space="preserve"> instalada dentro de caixas ou contêineres onde as plantas crescem. Imagine que a planta não consegue falar quando está com sede, calor ou doente. O nosso sistema coloca sensores (como termômetros) na terra e no ar para medir tudo o tempo todo, além de usar uma câmera que atua como os "olhos" do sistema.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Uma Inteligência Artificial combina esses dados e consegue entender exatamente a saúde do cultivo. Se uma folha começar a ficar amarela ou surgir um fungo, o sistema avisa imediatamente o produtor pelo celular. Além de cuidar da planta, o sistema guarda todo o histórico ambiental. Isso prova cientificamente que o alimento foi cultivado com uso mínimo de água e sem agrotóxicos químicos, gerando um certificado de rastreabilidade que permite ao produtor vender seus produtos por valores mais altos em grandes redes de supermercados em Goiânia, pagando o investimento do projeto através do aumento do lucro e da redução de desperdício.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