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jc w:val="cente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Desenvolvimento de um Sistema Inteligente de Monitoramento para Micro Estufas de Hortas Verticais em Containers utilizando Sensores IoT, Visão Computacional e Plataforma Web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Capítulo 1: Introdução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1.1 Contextualização e Problemática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setor agrícola brasileiro ocupa uma posição de destaque no cenário mundial, sendo responsável por uma parcela significativa do Produto Interno Bruto (PIB) nacional e das exportações do país [cite: 725]. No contexto da horticultura protegida — que inclui o cultivo em estufas, casas de vegetação e ambientes controlados — a demanda por técnicas que conciliem produtividade, sustentabilidade e redução de perdas tem crescido de forma expressiva nas últimas décadas [cite: 726]. Contudo, o monitoramento das condições ambientais e fitossanitárias das plantas em ambientes protegidos representa um dos principais desafios enfrentados por produtores e agrônomos [cite: 727]. Tradicionalmente, a avaliação do estado das culturas é realizada de forma manual e periódica, dependendo fortemente da experiência empírica do profissional responsável [cite: 728]. Esse modelo apresenta limitations evidentes: a impossibilidade de monitoramento contínuo, a subjetividade na interpretação dos sintomas e o risco de identificação tardia de problemas como deficiências nutricionais, doenças fúngicas e estresse hídrico — fatores que frequentemente comprometem a qualidade e o volume total da produção [cite: 255, 729].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agricultura de precisão emerge como um campo interdisciplinar que busca integrar tecnologias de informação e comunicação ao manejo agrícola, permitindo a coleta, análise e interpretação de dados em tempo real para a tomada de decisões assertivas [cite: 162, 730]. Entre os recursos tecnológicos que compõem esse paradigma, destacam-se a Internet das Coisas (IoT), os sistemas embarcados, a visão computacional e a inteligência artificial (IA), que em conjunto viabilizam o monitoramento remoto e automatizado de cultivos em escala [cite: 31, 731]. No nicho específico de hortas verticais instaladas em contêineres fechados, os desafios climáticos e biológicos são ampliados: o espaço reduzido exige o uso de iluminação artificial contínua, e o isolamento físico propicia problemas críticos como calor excessivo, baixa circulação de ar, condensação e controle climático complexo [cite: 41, 46, 49, 50, 51, 52, 53, 54, 55]. A detecção tardia de fitopatógenos nesses ambientes confinados acarreta perdas severas e rápidas de colheitas [cite: 255].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Objetivos e Proposta de Solução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trabalho propõe o desenvolvimento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PlantiumAI</w:t>
      </w:r>
      <w:r w:rsidDel="00000000" w:rsidR="00000000" w:rsidRPr="00000000">
        <w:rPr>
          <w:rFonts w:ascii="Arial" w:cs="Arial" w:eastAsia="Arial" w:hAnsi="Arial"/>
          <w:rtl w:val="0"/>
        </w:rPr>
        <w:t xml:space="preserve">, um system inteligente e integrado de monitoramento para micro estufas verticais em contêineres utilizando redes de sensores de baixo custo, visão computacional distribuída e inteligência artificial agêntica multimodal [cite: 5, 31, 602]. O objetivo geral consiste em mitigar o erro humano e otimizar as condições ambientais para a produção de mudas no início do ciclo vegetativo, restringindo o perímetro operacional para maximizar a viabilidade estatística e de hardware [cite: 15, 47, 133, 134].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fins de clareza conceitual e de mercado, o sistema pode ser descrito de forma simplificada como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"babá eletrônica inteligente"</w:t>
      </w:r>
      <w:r w:rsidDel="00000000" w:rsidR="00000000" w:rsidRPr="00000000">
        <w:rPr>
          <w:rFonts w:ascii="Arial" w:cs="Arial" w:eastAsia="Arial" w:hAnsi="Arial"/>
          <w:rtl w:val="0"/>
        </w:rPr>
        <w:t xml:space="preserve"> voltada ao ambiente vegetal [cite: 163]. O dispositivo atua monitorando constantemente as necessidades biológicas do cultivo através de sensores radiculares e aéreos combinados a uma câmera óptica de alta resistência, que atua como os "olhos" do sistema [cite: 147, 163]. Uma inteligência artificial interpreta os dados agregados e avisa remotamente o produtor via telefone celular sobre quaisquer anomalias (como folhas secas ou amareladas e estresse por baixa irrigação) [cite: 87, 92, 97, 98, 163], provendo uma trilha documental de rastreabilidade que atesta a conformidade ambiental e a ausência de defensivos químicos sintéticos [cite: 153, 163].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 Justificativa e Modelo de Negócio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viabilidade do projeto apoia-se na forte convergência de nicho (cidades inteligentes, automação, sustentabilidade e agricultura urbana) [cite: 32, 33, 34, 35, 36, 37, 38, 39, 41] e no cenário econômico favorável, visto que o mercado global de agricultura vertical baseado em contêineres marítimos projeta um crescimento expressivo de USD 1,38 bilhão em 2025 para USD 1,60 bilhão em 2026, expandindo-se a uma taxa anual composta (CAGR) de 15,8% até 2034 [cite: 532, 637]. O modelo de negócio adotado segue a estrutura de Software como Serviço (SaaS), com a cobrança de uma assinatura recorrente por estufa atrelada ao fornecimento inicial do kit físico, operando em um orçamento de implantação do piloto inicial de R$ 52.940,00 [cite: 602, 741]. A solução atende às principais dores do pequeno produtor rural, demonstrando em dados quantitativos o retorno sobre o investimento (ROI) por meio da economia substancial de recursos hídricos, defensivos e mão de obra operacional [cite: 155, 156, 170].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Capítulo 2: Fundamentação Teórica e Estado da Arte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O Paradigma da Inteligência Artificial Agêntica: O Experimento Sol Biodome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ano de 2026 consolida uma transição fundamental na aplicação agronômica da inteligência artificial: a migração de ferramentas puramente analíticas ou gerativas para sistemas orientados à IA Agêntica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Agentic AI</w:t>
      </w:r>
      <w:r w:rsidDel="00000000" w:rsidR="00000000" w:rsidRPr="00000000">
        <w:rPr>
          <w:rFonts w:ascii="Arial" w:cs="Arial" w:eastAsia="Arial" w:hAnsi="Arial"/>
          <w:rtl w:val="0"/>
        </w:rPr>
        <w:t xml:space="preserve">), dotados de autonomia de decisão e intervenção física em malha fechada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closed-loop</w:t>
      </w:r>
      <w:r w:rsidDel="00000000" w:rsidR="00000000" w:rsidRPr="00000000">
        <w:rPr>
          <w:rFonts w:ascii="Arial" w:cs="Arial" w:eastAsia="Arial" w:hAnsi="Arial"/>
          <w:rtl w:val="0"/>
        </w:rPr>
        <w:t xml:space="preserve">) [cite: 267, 605, 606, 607]. O principal benchmark científico desse paradigma é o experimento global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 Biodome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conduzido de forma autônoma pelo desenvolvedor Martin DeVido em 2026 [cite: 207, 211, 606]. No ensaio, o modelo multimodal Claude (Anthropic) assumiu o controle absoluto e sem supervisão humana das condições de crescimento de um tomateiro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Solanum lycopersicum</w:t>
      </w:r>
      <w:r w:rsidDel="00000000" w:rsidR="00000000" w:rsidRPr="00000000">
        <w:rPr>
          <w:rFonts w:ascii="Arial" w:cs="Arial" w:eastAsia="Arial" w:hAnsi="Arial"/>
          <w:rtl w:val="0"/>
        </w:rPr>
        <w:t xml:space="preserve">) chamado "Sol", confinado em uma estrutura dotada de 13 sensores ambientais [cite: 206, 211, 606].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fluxo metodológico do experimento baseava-se em checagens em intervalos regulares de 15 a 30 minutes, abrangendo a medição de dióxido de carbono (CO₂), umidade do solo, umidade do ar, luminosidade e temperatura [cite: 212, 607]. Com base nas telemetrias numéricas e no processamento visual de imagens foliares, o agente tomava decisões em tempo real sobre o acionamento de exaustores, lâmpadas de cultivo LED, tapetes aquecedores e bombas de irrigação controladas por um barramento Arduino [cite: 212, 226, 608]. Para mitigar as restrições de estouro de memória das janelas de contexto, implementou-se uma arquitetura de duas camadas de contexto: um loop operacional ReAct de curto prazo e uma rotina de autoconsolidação executada a cada duas horas [cite: 213]. A resiliência do modelo foi comprovada no 34º dia, quando uma falha crítica desativou os subsistemas elétricos de suporte [cite: 609]. Em um ciclo automático de diagnóstico de 15 minutos, a IA identificou a anomalia térmica e, em apenas 13 minutos, reconfigurou os barramentos de controle de atuadores, impedindo o murchamento e morte da planta sem intervenção manual externa [cite: 214, 609]. Esse experimento valida a premissa de controle autônomo e fundamenta a inferência integrada do PlantiumAI [cite: 216, 217, 610].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Modelos Multimodais e Avanços no Diagnóstico Fitossanitário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literatura acadêmica recente demonstra que a identificação de patologias vegetais progrediu de classificadores estatísticos simples para arquiteturas multimodais complexas (M-LLMs) capazes de cruzar imagens com bases de conhecimento estruturadas [cite: 460, 475, 504, 611, 612]. O modelo especializado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AgriM-LLM</w:t>
      </w:r>
      <w:r w:rsidDel="00000000" w:rsidR="00000000" w:rsidRPr="00000000">
        <w:rPr>
          <w:rFonts w:ascii="Arial" w:cs="Arial" w:eastAsia="Arial" w:hAnsi="Arial"/>
          <w:rtl w:val="0"/>
        </w:rPr>
        <w:t xml:space="preserve"> destaca-se por incorporar um Codificador Visual Avançado (EVE) baseado em Vision Transformers (ViT) acoplado a um módulo de Fusão de Características Multiescala (MSFF) [cite: 613]. O MSFF funde detalhes finos de textura e bordas das camadas rasas com representações semânticas abstratas das camadas profundas, sendo modelado matematicamente pela equação de fusão vetorial [cite: 613, 614]: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00" w:lineRule="auto"/>
        <w:ind w:left="180" w:right="180" w:firstLine="0"/>
        <w:jc w:val="center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$$f_{fusion} = \sigma(W_f \cdot [x_1 \parallel x_2 \parallel \dots \parallel x_n] + b_f)$$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Onde $x_i$ representa os mapas de características extraídos das camadas selecionadas do ViT, o operador $\parallel$ indica a concatenação vetorial ao longo da dimensão de características, $W_f$ corresponde à matriz de pesos da projeção linear, $b_f$ representa o vetor de viés e $\sigma$ denota a função de ativação não-linear [cite: 614]. Ao integrar o componente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AKE-Q</w:t>
      </w:r>
      <w:r w:rsidDel="00000000" w:rsidR="00000000" w:rsidRPr="00000000">
        <w:rPr>
          <w:rFonts w:ascii="Arial" w:cs="Arial" w:eastAsia="Arial" w:hAnsi="Arial"/>
          <w:rtl w:val="0"/>
        </w:rPr>
        <w:t xml:space="preserve"> (Agriculture-Knowledge-Enhanced Q-Former) para alinhamento guiado por dados agronômicos, o AgriM-LLM obteve taxas de acerto de 87,5% em doenças e 84,5% em pragas [cite: 615]. Frameworks complementares como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LPDiag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utilizam codificadores textuais baseados em LLM para alinhar sintomas clínicos a mapas visuais gerados por redes convolucionais espinhais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Res2Net</w:t>
      </w:r>
      <w:r w:rsidDel="00000000" w:rsidR="00000000" w:rsidRPr="00000000">
        <w:rPr>
          <w:rFonts w:ascii="Arial" w:cs="Arial" w:eastAsia="Arial" w:hAnsi="Arial"/>
          <w:rtl w:val="0"/>
        </w:rPr>
        <w:t xml:space="preserve">, alcançando acurácia média de 98,83% no diagnóstico fino de folhas de tomate [cite: 619].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Processamento Híbrido: Nuvem vs. Computação na Borda (Edge AI)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Embora os grandes modelos multimodais baseados em nuvem (como a API Claude 3.5 Sonnet) ofereçam raciocínio lógico superior, a dependência crítica de conectividade estável e o custo volumétrico por token representam barreiras para a operação contínua de estufas isoladas [cite: 624, 655]. A aplicação de grandes modelos de linguagem na nuvem apresenta custo fixado em cerca de R$ 16,50 por milhão de tokens de entrada e R$ 82,50 por milhão de tokens de saída (valores convertidos para a realidade de mercado nacional) [cite: 425]. Por essa razão, a literatura valida a transição para arquiteturas de borda baseadas em Modelos de Linguagem de Pequeno Porte (SLMs) quantizados e redes convolucionais leves executadas em hardware local [cite: 432, 621, 623]. Modelos como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Phi-4-mini-instruct</w:t>
      </w:r>
      <w:r w:rsidDel="00000000" w:rsidR="00000000" w:rsidRPr="00000000">
        <w:rPr>
          <w:rFonts w:ascii="Arial" w:cs="Arial" w:eastAsia="Arial" w:hAnsi="Arial"/>
          <w:rtl w:val="0"/>
        </w:rPr>
        <w:t xml:space="preserve"> (3.8B) 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SmolLM3-3B</w:t>
      </w:r>
      <w:r w:rsidDel="00000000" w:rsidR="00000000" w:rsidRPr="00000000">
        <w:rPr>
          <w:rFonts w:ascii="Arial" w:cs="Arial" w:eastAsia="Arial" w:hAnsi="Arial"/>
          <w:rtl w:val="0"/>
        </w:rPr>
        <w:t xml:space="preserve">, quando submetidos à quantização para precisão de 4 bits, exigem apenas 3,5 GB de VRAM, tornando-se compatíveis com hubs locais compactos e microprocessadores embarcados [cite: 621, 622, 623].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Capítulo 3: Metodologia e Arquitetura do Sistema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3.1 Arquitetura de Hardware Local e Conectividade IoT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físico do PlantiumAI foi projetado seguindo preceitos de baixo custo, eficiência energética e alta durabilidade sob condições de severa condensação e umidade interna [cite: 52, 147, 602, 625]. A coleta das variáveis ambientais e radiculares é distribuída por meio de nós equipados com o microcontrolador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ESP32 (Wemos D1)</w:t>
      </w:r>
      <w:r w:rsidDel="00000000" w:rsidR="00000000" w:rsidRPr="00000000">
        <w:rPr>
          <w:rFonts w:ascii="Arial" w:cs="Arial" w:eastAsia="Arial" w:hAnsi="Arial"/>
          <w:rtl w:val="0"/>
        </w:rPr>
        <w:t xml:space="preserve"> executando leitura de sensores via protocolos industriais e barramento I2C [cite: 121, 147, 603, 626]. Esses nós transmitem pacotes leves via protocolo MQTT em redes Wi-Fi para um gateway local centralizador, materializado por um computador de placa única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Raspberry Pi 3 Model B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123, 126, 127, 147, 738]. A tabela abaixo discrimina a especificação exata de materiais, finalidades e custos unitários do hardware homologado para o protótipo funcional: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Finalidade Agronômica / Técnica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Qtd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Preço Unit. (R$)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Total (R$)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ESP32 (Wemos D1)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Leitura distribuída de sensores e comunicação MQTT local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R$ 35,00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R$ 70,00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Raspberry Pi 3 Model 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Hub de processamento na borda, gestão de câmera e IA local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R$ 450,00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R$ 450,00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Sensor DHT22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Mensurador de temperatura e umidade relativa do ar interno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R$ 60,00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Sensor Capacitivo v1.2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Medição da umidade do substrato (evita oxidação por corrosão)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R$ 25,00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R$ 50,00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Sensor DS18B20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Termômetro subaquático / solo em aço inoxidável IP67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R$ 40,00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Sensor BH1750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Medidor de luminosidade ambiente via barramento I2C (Lux)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R$ 20,00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R$ 20,00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Câmera USB IP67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Captura óptica com proteção contra condensação interna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R$ 120,00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R$ 120,00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Módulo Relé 4 Canais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Controle ativo de atuadores (NF — Segurança em caso de pane)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R$ 30,00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R$ 30,00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Válvula Solenoide 12V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Atuador eletromecânico para liberação do fluxo de irrigação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R$ 45,00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R$ 45,00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Sensor de Fluxo YF-S201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Validação física e cruzamento de dados de irrigação efetiva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R$ 35,00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R$ 35,00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Componentes Adicionais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Cartão SD 32GB, fonte chaveada 5V 3A, cabeamento e jumpers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R$ 130,00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R$ 130,00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Roteador 4G LTE Industrial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Conectividade primária de dados para transmissão à plataforma [cite: 147]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R$ 350,00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R$ 350,00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VALOR TOTAL DO HARDWARE (Piloto Mínimo Viável — 1 Contêiner) [cite: 147]</w:t>
            </w:r>
          </w:p>
        </w:tc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R$ 1.400,00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3.2 Inteligência Computacional e Otimização local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mitigar os ruídos de iluminação artificial e reflexos comuns nos contêineres agrícolas, o software embarcado no Raspberry Pi implementa o algoritmo de detecção de objetos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YOLOv8n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6, 631, 656]. Treinado por meio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transfer 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a partir do banco público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PlantVillage</w:t>
      </w:r>
      <w:r w:rsidDel="00000000" w:rsidR="00000000" w:rsidRPr="00000000">
        <w:rPr>
          <w:rFonts w:ascii="Arial" w:cs="Arial" w:eastAsia="Arial" w:hAnsi="Arial"/>
          <w:rtl w:val="0"/>
        </w:rPr>
        <w:t xml:space="preserve"> (87.000 imagens indexadas) [cite: 651], o modelo atinge um índice mAP@0.5 de 91,2% com tempo de inferência local estável de 15,6 ms, garantindo a execução offline do diagnóstico primário foliar [cite: 631, 656].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Concomitantemente, uma rede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MobileNetV2</w:t>
      </w:r>
      <w:r w:rsidDel="00000000" w:rsidR="00000000" w:rsidRPr="00000000">
        <w:rPr>
          <w:rFonts w:ascii="Arial" w:cs="Arial" w:eastAsia="Arial" w:hAnsi="Arial"/>
          <w:rtl w:val="0"/>
        </w:rPr>
        <w:t xml:space="preserve"> processa imagens em tempo real para a classificação binária de estresse hídrico e nutricional (93,4% de acurácia) [cite: 628]. Para eliminar alarmes falsos decorrentes da flutuação operacional rápida das grow lights, aplica-se um filtro baseado em Média Móvel Exponencialmente Ponderada (EWMA) sobre os frames consecutivos, reduzindo divergências em 31% [cite: 629]. O cruzamento analítico final dos logs estruturados dos sensores e das imagens segmentadas é submetido à API Claude via payloads otimizados em formato JSON, fornecendo uma interface de diagnóstico explicável em linguagem natural para o agrônomo ou responsável técnico [cite: 397, 739].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Capítulo 4: Análise Econômica, Viabilidade e Inserção Regional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 Cenário Tecnológico de Goiás e Conexões Locais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e teste de campo do PlantiumAI inserem-se de forma estratégica no ecossistema de inovação do estado de Goiás [cite: 177]. O projeto alinha-se diretamente com as diretrizes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Desafio Agrostartup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fomentado em cooperação pelo Senar Goiás, Sebrae Goiás e a Fundação de Amparo à Pesquisa do Estado de Goiás (FAPEG) [cite: 599]. O edital disponibiliza R$ 720.000,00 em subvenção econômica para até 12 startups focadas na premissa de eficiência agroindustrial e sustentabilidade [cite: 599, 600].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viabilizar a fabricação e conectividade de hardware local com custos mitigados, o PlantiumAI estabelece integração técnica com a startup goiana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SiriNEO Technologies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603]. A solução adota a microplataforma nacional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JARM ESP32</w:t>
      </w:r>
      <w:r w:rsidDel="00000000" w:rsidR="00000000" w:rsidRPr="00000000">
        <w:rPr>
          <w:rFonts w:ascii="Arial" w:cs="Arial" w:eastAsia="Arial" w:hAnsi="Arial"/>
          <w:rtl w:val="0"/>
        </w:rPr>
        <w:t xml:space="preserve"> associada ao shield multiprotocolo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BEESP-MF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provendo suporte físico para redes Zigbee (via módulo ZigBOT Zigbee 3), LoRaWAN e Sigfox, viabilizando redes internas mesh malhadas entre as colunas verticais de calhas hidropônicas [cite: 603]. O gerenciamento, motor de regras inteligentes e armazenamento analítico de dados históricos são centralizados na plataforma web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SiriNEO Things</w:t>
      </w:r>
      <w:r w:rsidDel="00000000" w:rsidR="00000000" w:rsidRPr="00000000">
        <w:rPr>
          <w:rFonts w:ascii="Arial" w:cs="Arial" w:eastAsia="Arial" w:hAnsi="Arial"/>
          <w:rtl w:val="0"/>
        </w:rPr>
        <w:t xml:space="preserve"> via brokers MQTT [cite: 603, 604]. Canais de inserção comercial e distribuição logística regional são fortalecidos através de parcerias com a FPM e a plataforma de conexões empresariais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VarejoIN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604].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Infraestrutura e Custos de Contêineres Comerciais (Mercado Nacional)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escalonamento do modelo de micro estufas confinas exige o entendimento rigoroso da infraestrutura de CAPEX necessária para contêineres marítimos de 20 e 40 pés, adaptados aos custos de insumos e logística no Brasil [cite: 654]. A tabela abaixo compila a discriminação média de custos reais estimados de mercado para instalações sob a ótica de Agricultura em Ambiente Controlado (CEA), convertidos e localizados para a realidade brasileira em Reais (R$) [cite: 638, 640]: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Elemento de Custo (Setup Inicial no Brasil)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Contêiner Pequeno (20 pés / ~15 m²)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Contêiner Grande (40 pés / ~30 m²)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Aquisição do Contêiner Crú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R$ 11.000,00 - R$ 27.500,00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R$ 27.500,00 - R$ 55.000,00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Isolamento Térmico de Poliuretano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R$ 27.500,00 - R$ 44.000,00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R$ 44.000,00 - R$ 82.500,00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Sistemas Hidráulicos e Recirculação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R$ 16.500,00 - R$ 27.500,00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R$ 27.500,00 - R$ 44.000,00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Climatização Avançada e HVAC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R$ 55.000,00 - R$ 82.500,00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R$ 82.500,00 - R$ 137.500,00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Luminárias Profissionais LED Multicor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R$ 55.000,00 - R$ 82.500,00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R$ 82.500,00 - R$ 110.000,00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Rede de Sensores, Atuadores e IoT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R$ 11.000,00 - R$ 22.000,00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R$ 22.000,00 - R$ 44.000,00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Mão de Obra de Calibração e Montagem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R$ 11.000,00 - R$ 19.250,00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R$ 19.250,00 - R$ 27.500,00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CAPEX TOTAL ESTIMADO (R$) [cite: 641]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R$ 187.000,00 - R$ 305.750,00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R$ 305.250,00 - R$ 500.500,00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4.3 Conectividade em Zonas Isoladas via Satélite (Preços no Brasil)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viabilizar a transmissão estável de relatórios de conformidade e telemetrias rurais em regiões de Goiás sem infraestrutura estável de telefonia celular terrestre, o sistema homologa o uso da constelação satelital Starlink [cite: 147, 642, 658]. A tabela a seguir mapeia os custos localizados para o mercado do Brasil em 2026, com valores convertidos de forma realista para Reais (R$) considerando taxas e impostos de importação vigentes [cite: 642, 643]: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Plano Starlink no Brasil (2026)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Franquia / Capacidade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Velocidade Média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Assinatura Mensal (R$)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c528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Hardware Inicial (R$)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Residential 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Ilimitado (Fixo) [cite: 643]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Até 300 Mbps [cite: 643]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R$ 660,00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R$ 2.400,00 (Standard)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Residential 200 Mbps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Ilimitado (Fixo) [cite: 643]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Até 200 Mbps [cite: 643]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R$ 440,00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R$ 2.400,00 (Standard)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Residential 100 Mbps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Ilimitado (Fixo) [cite: 643]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Até 100 Mbps [cite: 643]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R$ 275,00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R$ 1.800,00 (Mini Kit)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Fixed Site Business 50GB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Franquia 50 GB [cite: 643]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Alta Prioridade [cite: 643]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R$ 300,00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R$ 2.400,00 (Business)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45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Capítulo 5: Considerações Finais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O Projeto PlantiumAI consolida-se como uma resposta científica viável e de alto impacto regional frente aos desafios contemporâneos da agricultura urbana e da horticultura protegida de precisão [cite: 169, 597, 602]. Ao acoplar sensores IoT de baixo custo a modelos robustos de visão computacional e agentes de inteligência artificial na borda, o trabalho comprova que é viável estender a autonomia operacional e mitigar riscos severos de perda de produção sem inflar os custos operacionais de pacotes de dados em nuvem [cite: 656].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perspectivas de trabalhos futuros, propõe-se a expansão algorítmica para a incorporação de técnicas de Aprendizado Federado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Federated 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) [cite: 379, 747]. Essa abordagem permitirá que múltiplos contêineres instalados no estado de Goiás colaborem no refinamento estatístico dos modelos neurais de pragas de forma distribuída, preservando integralmente a privacidade de dados e o histórico comercial estratégico de cada produtor rural parceiro [cite: 380, 383].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