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MALTRA FOOD GROCER</w:t>
        <w:br/>
        <w:t>ACCOUNTANT PORTFOLIO</w:t>
      </w:r>
    </w:p>
    <w:p>
      <w:pPr>
        <w:jc w:val="center"/>
      </w:pPr>
      <w:r>
        <w:t>Illustrative case study, working-paper guide and interview walkthrough</w:t>
      </w:r>
    </w:p>
    <w:p>
      <w:r>
        <w:t>Prepared to demonstrate capabilities relevant to the Robert Half Accountant role, Port Melbourne. All data is fictional and created solely for portfolio demonstration.</w:t>
      </w:r>
    </w:p>
    <w:p>
      <w:pPr>
        <w:pStyle w:val="Heading1"/>
      </w:pPr>
      <w:r>
        <w:t>1. Executive summary</w:t>
      </w:r>
    </w:p>
    <w:p>
      <w:r>
        <w:t>Maltra Food Grocer is a fictional Australian food and consumer-goods group with a manufacturing operation, distribution centre, regional sales/distribution operation and head office. The portfolio models a September 2026 month-end and demonstrates financial reporting, general ledger reconciliations, intercompany controls, inventory/COGS, fixed assets, CAPEX, audit/ABS support and process improvement.</w:t>
      </w:r>
    </w:p>
    <w:p>
      <w:r>
        <w:t>The case is designed to mirror the role's blend of core accounting, asset accounting, operational stakeholder support, multi-entity work and systems improvement. It is an independent practice case and is not based on any undisclosed employer's internal information.</w:t>
      </w:r>
    </w:p>
    <w:p>
      <w:pPr>
        <w:pStyle w:val="Heading1"/>
      </w:pPr>
      <w:r>
        <w:t>2. Role alignment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Role requirement</w:t>
            </w:r>
          </w:p>
        </w:tc>
        <w:tc>
          <w:tcPr>
            <w:tcW w:type="dxa" w:w="3360"/>
          </w:tcPr>
          <w:p>
            <w:r>
              <w:t>Portfolio evidence</w:t>
            </w:r>
          </w:p>
        </w:tc>
        <w:tc>
          <w:tcPr>
            <w:tcW w:type="dxa" w:w="3360"/>
          </w:tcPr>
          <w:p>
            <w:r>
              <w:t>What to explain in interview</w:t>
            </w:r>
          </w:p>
        </w:tc>
      </w:tr>
      <w:tr>
        <w:tc>
          <w:tcPr>
            <w:tcW w:type="dxa" w:w="3360"/>
          </w:tcPr>
          <w:p>
            <w:r>
              <w:t>Monthly financial statements and expense analysis</w:t>
            </w:r>
          </w:p>
        </w:tc>
        <w:tc>
          <w:tcPr>
            <w:tcW w:type="dxa" w:w="3360"/>
          </w:tcPr>
          <w:p>
            <w:r>
              <w:t>Monthly P&amp;L; Dashboard</w:t>
            </w:r>
          </w:p>
        </w:tc>
        <w:tc>
          <w:tcPr>
            <w:tcW w:type="dxa" w:w="3360"/>
          </w:tcPr>
          <w:p>
            <w:r>
              <w:t>How actual vs budget is calculated; how you validate and communicate drivers.</w:t>
            </w:r>
          </w:p>
        </w:tc>
      </w:tr>
      <w:tr>
        <w:tc>
          <w:tcPr>
            <w:tcW w:type="dxa" w:w="3360"/>
          </w:tcPr>
          <w:p>
            <w:r>
              <w:t>GL and balance sheet reconciliations</w:t>
            </w:r>
          </w:p>
        </w:tc>
        <w:tc>
          <w:tcPr>
            <w:tcW w:type="dxa" w:w="3360"/>
          </w:tcPr>
          <w:p>
            <w:r>
              <w:t>GL Reconciliation; Journal Register</w:t>
            </w:r>
          </w:p>
        </w:tc>
        <w:tc>
          <w:tcPr>
            <w:tcW w:type="dxa" w:w="3360"/>
          </w:tcPr>
          <w:p>
            <w:r>
              <w:t>How you distinguish a timing item from an error and when a journal is appropriate.</w:t>
            </w:r>
          </w:p>
        </w:tc>
      </w:tr>
      <w:tr>
        <w:tc>
          <w:tcPr>
            <w:tcW w:type="dxa" w:w="3360"/>
          </w:tcPr>
          <w:p>
            <w:r>
              <w:t>Fixed assets and CAPEX</w:t>
            </w:r>
          </w:p>
        </w:tc>
        <w:tc>
          <w:tcPr>
            <w:tcW w:type="dxa" w:w="3360"/>
          </w:tcPr>
          <w:p>
            <w:r>
              <w:t>Fixed Assets; CAPEX Analysis</w:t>
            </w:r>
          </w:p>
        </w:tc>
        <w:tc>
          <w:tcPr>
            <w:tcW w:type="dxa" w:w="3360"/>
          </w:tcPr>
          <w:p>
            <w:r>
              <w:t>Capitalisation assessment, in-service date, depreciation assumptions, commitments and forecast-to-complete.</w:t>
            </w:r>
          </w:p>
        </w:tc>
      </w:tr>
      <w:tr>
        <w:tc>
          <w:tcPr>
            <w:tcW w:type="dxa" w:w="3360"/>
          </w:tcPr>
          <w:p>
            <w:r>
              <w:t>ABS submissions and audit support</w:t>
            </w:r>
          </w:p>
        </w:tc>
        <w:tc>
          <w:tcPr>
            <w:tcW w:type="dxa" w:w="3360"/>
          </w:tcPr>
          <w:p>
            <w:r>
              <w:t>Audit &amp; ABS tracker</w:t>
            </w:r>
          </w:p>
        </w:tc>
        <w:tc>
          <w:tcPr>
            <w:tcW w:type="dxa" w:w="3360"/>
          </w:tcPr>
          <w:p>
            <w:r>
              <w:t>Source-to-submission traceability, review, evidence retention and confirming the applicable survey instructions.</w:t>
            </w:r>
          </w:p>
        </w:tc>
      </w:tr>
      <w:tr>
        <w:tc>
          <w:tcPr>
            <w:tcW w:type="dxa" w:w="3360"/>
          </w:tcPr>
          <w:p>
            <w:r>
              <w:t>Operational/site partnership</w:t>
            </w:r>
          </w:p>
        </w:tc>
        <w:tc>
          <w:tcPr>
            <w:tcW w:type="dxa" w:w="3360"/>
          </w:tcPr>
          <w:p>
            <w:r>
              <w:t>Inventory &amp; COGS; exception log</w:t>
            </w:r>
          </w:p>
        </w:tc>
        <w:tc>
          <w:tcPr>
            <w:tcW w:type="dxa" w:w="3360"/>
          </w:tcPr>
          <w:p>
            <w:r>
              <w:t>How you speak with operations, investigate stock/cut-off differences and avoid assumptions.</w:t>
            </w:r>
          </w:p>
        </w:tc>
      </w:tr>
      <w:tr>
        <w:tc>
          <w:tcPr>
            <w:tcW w:type="dxa" w:w="3360"/>
          </w:tcPr>
          <w:p>
            <w:r>
              <w:t>Systems, AI and process improvement</w:t>
            </w:r>
          </w:p>
        </w:tc>
        <w:tc>
          <w:tcPr>
            <w:tcW w:type="dxa" w:w="3360"/>
          </w:tcPr>
          <w:p>
            <w:r>
              <w:t>Process Improvement; Power BI Data</w:t>
            </w:r>
          </w:p>
        </w:tc>
        <w:tc>
          <w:tcPr>
            <w:tcW w:type="dxa" w:w="3360"/>
          </w:tcPr>
          <w:p>
            <w:r>
              <w:t>Power Query exception handling, dashboard measures, AI guardrails and measurable benefit baselines.</w:t>
            </w:r>
          </w:p>
        </w:tc>
      </w:tr>
      <w:tr>
        <w:tc>
          <w:tcPr>
            <w:tcW w:type="dxa" w:w="3360"/>
          </w:tcPr>
          <w:p>
            <w:r>
              <w:t>Multi-entity accounting</w:t>
            </w:r>
          </w:p>
        </w:tc>
        <w:tc>
          <w:tcPr>
            <w:tcW w:type="dxa" w:w="3360"/>
          </w:tcPr>
          <w:p>
            <w:r>
              <w:t>Intercompany; entity P&amp;L</w:t>
            </w:r>
          </w:p>
        </w:tc>
        <w:tc>
          <w:tcPr>
            <w:tcW w:type="dxa" w:w="3360"/>
          </w:tcPr>
          <w:p>
            <w:r>
              <w:t>Counterparty matching, consistent sign conventions and consolidation eliminations only after investigation.</w:t>
            </w:r>
          </w:p>
        </w:tc>
      </w:tr>
    </w:tbl>
    <w:p>
      <w:pPr>
        <w:pStyle w:val="Heading1"/>
      </w:pPr>
      <w:r>
        <w:t>3. Illustrative financial performance</w:t>
      </w:r>
    </w:p>
    <w:p>
      <w:r>
        <w:t>The model's entity-level figures are illustrative. Group totals are a management view before any consolidation eliminations; the case intentionally does not claim that these figures are statutory consolidated results.</w:t>
      </w:r>
    </w:p>
    <w:p>
      <w:r>
        <w:t>Entity P&amp;L inputs (AUD): VIC Manufacturing revenue $2.450m actual / $2.380m budget; NSW Distribution $1.280m / $1.320m; QLD Sales &amp; Distribution $0.940m / $0.900m; Group Head Office $0.120m / $0.100m. Actual COGS and operating expenses are provided in the workbook.</w:t>
      </w:r>
    </w:p>
    <w:p>
      <w:r>
        <w:t>At the group management-view level, revenue is $4.790m actual versus $4.700m budget (+$90k). COGS is $2.887m versus $2.8446m budget ($42.4k adverse). Operating expenses are $1.364m versus $1.333m ($31k adverse). EBITDA is $539k versus $522.4k budget (+$16.6k). EBITDA margin is approximately 11.3% actual. These figures are derived from the illustrative entity inputs.</w:t>
      </w:r>
    </w:p>
    <w:p>
      <w:r>
        <w:t>Interview explanation: revenue is favourable but COGS and opex are adverse. I would not assign causes based on a summary alone. I would bridge by entity, product/category, volume, price, mix and timing; then validate drivers to transaction and operational evidence before finalising commentary.</w:t>
      </w:r>
    </w:p>
    <w:p>
      <w:pPr>
        <w:pStyle w:val="Heading1"/>
      </w:pPr>
      <w:r>
        <w:t>4. Reconciliation case and control response</w:t>
      </w:r>
    </w:p>
    <w:p>
      <w:r>
        <w:t>The workbook includes illustrative reconciling items in receivables, inventory and accrued expenses. Formula-based status flags show whether adjusted support agrees with the GL. The preparer documents the root-cause hypothesis, action, evidence reference and reviewer sign-off. A difference is not cleared simply by posting a balancing journal: the underlying transaction, period, account and approval must be established.</w:t>
      </w:r>
    </w:p>
    <w:p>
      <w:r>
        <w:t>The intercompany schedule uses an opposite-sign convention. A $48,000 debit and $45,000 credit leaves a $3,000 difference. The correct response is to investigate the management-fee journal, period and supporting agreement, then obtain approval for any correction before consolidation.</w:t>
      </w:r>
    </w:p>
    <w:p>
      <w:pPr>
        <w:pStyle w:val="Heading1"/>
      </w:pPr>
      <w:r>
        <w:t>5. Inventory and COGS</w:t>
      </w:r>
    </w:p>
    <w:p>
      <w:r>
        <w:t>The inventory roll-forward is opening balance + purchases/production + net transfers = expected closing balance. The workbook compares that amount with the subledger by category and flags residuals. In a real food business, investigation would cover goods received not invoiced, goods in transit, production completion, yield, stocktake adjustments, damaged/expired stock, cut-off and valuation/obsolescence provisions. The simplified bridge is not a substitute for a complete costing or valuation assessment.</w:t>
      </w:r>
    </w:p>
    <w:p>
      <w:pPr>
        <w:pStyle w:val="Heading1"/>
      </w:pPr>
      <w:r>
        <w:t>6. Fixed assets and CAPEX</w:t>
      </w:r>
    </w:p>
    <w:p>
      <w:r>
        <w:t>The fixed asset register calculates monthly straight-line depreciation using (cost less residual value) divided by useful life in months. The workbook applies a simplified full-month convention through September 2026. In practice I would verify the accounting policy, asset class, componentisation, date available for use, residual value, useful life, impairment indicators and whether any expenditure is repair/maintenance or capital in nature.</w:t>
      </w:r>
    </w:p>
    <w:p>
      <w:r>
        <w:t>CAPEX reporting compares approved budget with actual spend, committed spend and remaining forecast. I would tie actuals to the GL/AP, commitments to approved purchase orders and contracts, and forecast-to-complete to the project manager. Any potential overrun is escalated with a quantified explanation and options.</w:t>
      </w:r>
    </w:p>
    <w:p>
      <w:pPr>
        <w:pStyle w:val="Heading1"/>
      </w:pPr>
      <w:r>
        <w:t>7. Month-end close and audit readiness</w:t>
      </w:r>
    </w:p>
    <w:p>
      <w:r>
        <w:t>The proposed close calendar targets sign-off by business day seven. Each task has an owner, due date, evidence reference and reviewer note. A live close should also track materiality, dependency, late journals, post-close adjustments, unresolved risks and final Financial Controller approval.</w:t>
      </w:r>
    </w:p>
    <w:p>
      <w:r>
        <w:t>For audit and ABS work, I would retain source extracts, reconciliation to the GL, definitions, approvals, submitted version and receipt. The applicable ABS survey, reporting unit and definitions must be confirmed from current official instructions; the tracker is a workflow example, not a completed submission.</w:t>
      </w:r>
    </w:p>
    <w:p>
      <w:pPr>
        <w:pStyle w:val="Heading1"/>
      </w:pPr>
      <w:r>
        <w:t>8. Process improvement proposal</w:t>
      </w:r>
    </w:p>
    <w:p>
      <w:r>
        <w:t>Priority 1: use Power Query to ingest standardised trial balance, subledger and project files; apply controlled account/entity mappings; generate exception tables; and retain source lineage. Priority 2: standardise CAPEX IDs and reporting. Priority 3: use a shared close calendar with evidence and reviewer status. Priority 4: use AI only for a first draft of commentary on permitted, non-sensitive data, with an accountant validating each claim against source evidence.</w:t>
      </w:r>
    </w:p>
    <w:p>
      <w:r>
        <w:t>Measure outcomes against a baseline: preparation hours, number/value of unreconciled items, number of post-close corrections, close duration, late tasks and CAPEX forecast variance. The hours-saved estimates in the workbook are hypotheses and must not be presented as achieved results.</w:t>
      </w:r>
    </w:p>
    <w:p>
      <w:pPr>
        <w:pStyle w:val="Heading1"/>
      </w:pPr>
      <w:r>
        <w:t>9. Power BI build guide</w:t>
      </w:r>
    </w:p>
    <w:p>
      <w:pPr>
        <w:pStyle w:val="ListBullet"/>
      </w:pPr>
      <w:r>
        <w:t>Import the Power BI Data sheet or accompanying CSV.</w:t>
      </w:r>
    </w:p>
    <w:p>
      <w:pPr>
        <w:pStyle w:val="ListBullet"/>
      </w:pPr>
      <w:r>
        <w:t>Set Amount to a decimal/currency data type and Month to Date.</w:t>
      </w:r>
    </w:p>
    <w:p>
      <w:pPr>
        <w:pStyle w:val="ListBullet"/>
      </w:pPr>
      <w:r>
        <w:t>Create measures: Actual = CALCULATE(SUM(Fact[Amount]), Fact[Scenario] = "Actual"); Budget = CALCULATE(SUM(Fact[Amount]), Fact[Scenario] = "Budget"); Variance = [Actual] - [Budget]; Variance % = DIVIDE([Variance], [Budget]).</w:t>
      </w:r>
    </w:p>
    <w:p>
      <w:pPr>
        <w:pStyle w:val="ListBullet"/>
      </w:pPr>
      <w:r>
        <w:t>Use a matrix with Entity rows and Metric columns; add Scenario or Actual/Budget/Variance measures.</w:t>
      </w:r>
    </w:p>
    <w:p>
      <w:pPr>
        <w:pStyle w:val="ListBullet"/>
      </w:pPr>
      <w:r>
        <w:t>Add cards for Revenue Actual, EBITDA Actual, EBITDA Margin and CAPEX utilisation; use drill-through to entity and metric.</w:t>
      </w:r>
    </w:p>
    <w:p>
      <w:pPr>
        <w:pStyle w:val="ListBullet"/>
      </w:pPr>
      <w:r>
        <w:t>Label all data as illustrative and avoid implying that the dashboard is connected to a live ERP.</w:t>
      </w:r>
    </w:p>
    <w:p>
      <w:pPr>
        <w:pStyle w:val="Heading1"/>
      </w:pPr>
      <w:r>
        <w:t>10. Interview walkthrough: 90 seconds</w:t>
      </w:r>
    </w:p>
    <w:p>
      <w:r>
        <w:t>“I built an illustrative multi-entity food and consumer-goods case to demonstrate how I approach a controlled month-end. I started with actual-versus-budget reporting, then linked the headline variances to the underlying reconciliations, inventory roll-forward, fixed asset register and CAPEX projects. I included exceptions rather than forcing every schedule to balance, because the accounting response should be evidence-led. I also added an owned close checklist, an audit/ABS evidence tracker and a Power BI-ready data model. The improvement opportunity is to standardise data ingestion with Power Query, surface exceptions early and retain review controls. All figures are fictional; the value of the portfolio is the process, calculations and decision-making approach.”</w:t>
      </w:r>
    </w:p>
    <w:p>
      <w:pPr>
        <w:pStyle w:val="Heading1"/>
      </w:pPr>
      <w:r>
        <w:t>11. Likely interview questions and strong answer themes</w:t>
      </w:r>
    </w:p>
    <w:p>
      <w:r>
        <w:rPr>
          <w:b/>
          <w:color w:val="1F4E79"/>
        </w:rPr>
        <w:t>How do you ensure a balance sheet reconciliation is complete?</w:t>
      </w:r>
    </w:p>
    <w:p>
      <w:r>
        <w:t>Tie the GL to an independent source, identify all reconciling items, age and explain them, validate subsequent clearing, document evidence and obtain independent review. Escalate material or stale items.</w:t>
      </w:r>
    </w:p>
    <w:p>
      <w:r>
        <w:rPr>
          <w:b/>
          <w:color w:val="1F4E79"/>
        </w:rPr>
        <w:t>What do you do when inventory does not agree?</w:t>
      </w:r>
    </w:p>
    <w:p>
      <w:r>
        <w:t>Confirm the source reports and cut-off; reconcile opening, purchases/production, transfers and closing stock; investigate by category/location; validate valuation and write-offs; post only supported, approved adjustments.</w:t>
      </w:r>
    </w:p>
    <w:p>
      <w:r>
        <w:rPr>
          <w:b/>
          <w:color w:val="1F4E79"/>
        </w:rPr>
        <w:t>How do you decide whether expenditure is capital or expense?</w:t>
      </w:r>
    </w:p>
    <w:p>
      <w:r>
        <w:t>Assess the nature and purpose of spend against the applicable accounting policy and AASB requirements, future economic benefits, recognition criteria, materiality and asset component; document judgement and approval.</w:t>
      </w:r>
    </w:p>
    <w:p>
      <w:r>
        <w:rPr>
          <w:b/>
          <w:color w:val="1F4E79"/>
        </w:rPr>
        <w:t>How do you handle an intercompany mismatch?</w:t>
      </w:r>
    </w:p>
    <w:p>
      <w:r>
        <w:t>Agree the counterparties, period, currency and sign convention; compare invoices/journals; identify missing or duplicated postings; correct with approval and only then complete consolidation eliminations.</w:t>
      </w:r>
    </w:p>
    <w:p>
      <w:r>
        <w:rPr>
          <w:b/>
          <w:color w:val="1F4E79"/>
        </w:rPr>
        <w:t>How would you use AI safely in finance?</w:t>
      </w:r>
    </w:p>
    <w:p>
      <w:r>
        <w:t>Use approved tools and permitted data only; avoid sensitive uploads; provide constrained context; verify every number and claim against source data; retain human approval and measure error/correction rates.</w:t>
      </w:r>
    </w:p>
    <w:p>
      <w:r>
        <w:rPr>
          <w:b/>
          <w:color w:val="1F4E79"/>
        </w:rPr>
        <w:t>How would you work with a production or distribution manager?</w:t>
      </w:r>
    </w:p>
    <w:p>
      <w:r>
        <w:t>Explain the financial issue in operational terms, ask for source records, confirm timing and physical events, quantify the impact, agree corrective action and communicate the deadline/owner.</w:t>
      </w:r>
    </w:p>
    <w:p>
      <w:pPr>
        <w:pStyle w:val="Heading1"/>
      </w:pPr>
      <w:r>
        <w:t>12. How to present this portfolio honestly</w:t>
      </w:r>
    </w:p>
    <w:p>
      <w:r>
        <w:t>Present it as a self-directed, fictional skills demonstration. Do not claim it was created for or used by Maltra Foods, the unnamed employer or Robert Half. Be ready to explain each formula, accounting assumption, unresolved exception and limitation. If a real ERP or Power BI file was not used, describe the workbook as ERP/Power BI-ready rather than claiming a live integration.</w:t>
      </w:r>
    </w:p>
    <w:p>
      <w:r>
        <w:t>Source context: Robert Half job advertisement, Accountant, Port Melbourne, job reference 06810-0013452347SG. The advertised responsibilities include monthly financial reporting, GL and balance sheet reconciliations, fixed assets and CAPEX, ABS submissions, audit support, operational stakeholder support, systems and process improvement, and beneficial Power BI / Microsoft Copilot / Dynamics exposure.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