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  <w:jc w:val="center"/>
      </w:pPr>
      <w:r>
        <w:rPr>
          <w:rFonts w:ascii="Noto Sans CJK SC" w:cs="Noto Sans CJK SC" w:eastAsia="Noto Sans CJK SC" w:hAnsi="Noto Sans CJK SC"/>
          <w:b/>
          <w:bCs/>
          <w:color w:val="1F3864"/>
          <w:sz w:val="46"/>
          <w:szCs w:val="46"/>
        </w:rPr>
        <w:t xml:space="preserve">R 包验证策略对比分析与实施方案</w:t>
      </w:r>
    </w:p>
    <w:p>
      <w:pPr>
        <w:spacing w:after="40"/>
        <w:jc w:val="center"/>
      </w:pPr>
      <w:r>
        <w:rPr>
          <w:rFonts w:ascii="Noto Sans CJK SC" w:cs="Noto Sans CJK SC" w:eastAsia="Noto Sans CJK SC" w:hAnsi="Noto Sans CJK SC"/>
          <w:color w:val="2E5A88"/>
          <w:sz w:val="24"/>
          <w:szCs w:val="24"/>
        </w:rPr>
        <w:t xml:space="preserve">R Validation Hub · valtools · Atorus/OpenVal · Jumping Rivers 横向评估</w:t>
      </w:r>
    </w:p>
    <w:p>
      <w:pPr>
        <w:spacing w:after="700"/>
        <w:jc w:val="center"/>
      </w:pPr>
      <w:r>
        <w:rPr>
          <w:rFonts w:ascii="Noto Sans CJK SC" w:cs="Noto Sans CJK SC" w:eastAsia="Noto Sans CJK SC" w:hAnsi="Noto Sans CJK SC"/>
          <w:color w:val="595959"/>
          <w:sz w:val="21"/>
          <w:szCs w:val="21"/>
        </w:rPr>
        <w:t xml:space="preserve">面向 GxP 监管申报环境的「自建 vs 复用」决策与落地路线</w:t>
      </w:r>
    </w:p>
    <w:p>
      <w:pPr>
        <w:spacing w:after="30"/>
        <w:jc w:val="center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595959"/>
          <w:sz w:val="19"/>
          <w:szCs w:val="19"/>
        </w:rPr>
        <w:t xml:space="preserve">适用场景：监管申报级（FDA / NMPA / EMA）· 自研 + 第三方 R 包并存 · 倾向开源自建</w:t>
      </w:r>
    </w:p>
    <w:p>
      <w:pPr>
        <w:spacing w:after="30"/>
        <w:jc w:val="center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595959"/>
          <w:sz w:val="19"/>
          <w:szCs w:val="19"/>
        </w:rPr>
        <w:t xml:space="preserve">编制对象：Jin（临床创新研发 / 统计编程）</w:t>
      </w:r>
    </w:p>
    <w:p>
      <w:pPr>
        <w:jc w:val="center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595959"/>
          <w:sz w:val="19"/>
          <w:szCs w:val="19"/>
        </w:rPr>
        <w:t xml:space="preserve">日期：2026-07-07</w:t>
      </w:r>
    </w:p>
    <w:p>
      <w:r>
        <w:br w:type="page"/>
      </w:r>
    </w:p>
    <w:p>
      <w:pPr>
        <w:pStyle w:val="Heading1"/>
        <w:spacing w:after="130" w:before="260"/>
      </w:pPr>
      <w:r>
        <w:rPr>
          <w:rFonts w:ascii="Noto Sans CJK SC" w:cs="Noto Sans CJK SC" w:eastAsia="Noto Sans CJK SC" w:hAnsi="Noto Sans CJK SC"/>
          <w:b/>
          <w:bCs/>
          <w:color w:val="1F3864"/>
          <w:sz w:val="30"/>
          <w:szCs w:val="30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30" w:before="260"/>
      </w:pPr>
      <w:r>
        <w:rPr>
          <w:rFonts w:ascii="Noto Sans CJK SC" w:cs="Noto Sans CJK SC" w:eastAsia="Noto Sans CJK SC" w:hAnsi="Noto Sans CJK SC"/>
          <w:b/>
          <w:bCs/>
          <w:color w:val="1F3864"/>
          <w:sz w:val="30"/>
          <w:szCs w:val="30"/>
        </w:rPr>
        <w:t xml:space="preserve">1  执行摘要</w:t>
      </w:r>
    </w:p>
    <w:p>
      <w:pPr>
        <w:spacing w:after="120" w:before="0" w:line="276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结论先行：在你的约束下（申报级 GxP、自研与第三方包并存、有开发人力但预算有限），推荐采取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F3864"/>
          <w:sz w:val="21"/>
          <w:szCs w:val="21"/>
        </w:rPr>
        <w:t xml:space="preserve">「以开源框架自建为主、商业方案作为高风险统计包兜底」的混合策略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，而非纯自研或纯采购。</w:t>
      </w:r>
    </w:p>
    <w:p>
      <w:pPr>
        <w:spacing w:after="120" w:before="0" w:line="276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核心判断：这四家并不是同一层面的竞品，而是三种不同「物种」——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000000"/>
          <w:sz w:val="21"/>
          <w:szCs w:val="21"/>
        </w:rPr>
        <w:t xml:space="preserve">标准/框架派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（R Validation Hub + PHUSE valtools，免费、需自建）、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000000"/>
          <w:sz w:val="21"/>
          <w:szCs w:val="21"/>
        </w:rPr>
        <w:t xml:space="preserve">商业「验证包即服务」派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（Atorus 的 OpenVal，订阅制买现成）、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000000"/>
          <w:sz w:val="21"/>
          <w:szCs w:val="21"/>
        </w:rPr>
        <w:t xml:space="preserve">咨询+自研工具派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（Jumping Rivers 的 Litmusverse，服务为主）。</w:t>
      </w:r>
    </w:p>
    <w:p>
      <w:pPr>
        <w:spacing w:after="120" w:before="0" w:line="276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需要先澄清一个常见误解：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9C2B2B"/>
          <w:sz w:val="21"/>
          <w:szCs w:val="21"/>
        </w:rPr>
        <w:t xml:space="preserve">你列出的「openval」就是 Atorus Research 的商业产品 OpenVal 本身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，二者并非并列的两个组织。</w:t>
      </w:r>
    </w:p>
    <w:p>
      <w:pPr>
        <w:spacing w:after="120" w:before="0" w:line="276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落地建议的一句话版本：用 valtools 建立自研包的验证框架（RPVF），用 riskmetric / riskassessment 做第三方包的风险分级评估，用 Posit Package Manager + renv 冻结环境，用 diffify / oysteR 做持续监控；对少数高风险统计计算包，若人工深度测试成本过高，再考虑向 OpenVal 采购单包验证或请 Jumping Rivers 做专项咨询。</w:t>
      </w:r>
    </w:p>
    <w:p>
      <w:pPr>
        <w:pStyle w:val="Heading3"/>
        <w:spacing w:after="80" w:before="150"/>
      </w:pPr>
      <w:r>
        <w:rPr>
          <w:rFonts w:ascii="Noto Sans CJK SC" w:cs="Noto Sans CJK SC" w:eastAsia="Noto Sans CJK SC" w:hAnsi="Noto Sans CJK SC"/>
          <w:b/>
          <w:bCs/>
          <w:color w:val="595959"/>
          <w:sz w:val="22"/>
          <w:szCs w:val="22"/>
        </w:rPr>
        <w:t xml:space="preserve">为什么不是纯自建，也不是纯采购</w:t>
      </w:r>
    </w:p>
    <w:p>
      <w:pPr>
        <w:pStyle w:val="ListParagraph"/>
        <w:numPr>
          <w:ilvl w:val="0"/>
          <w:numId w:val="2"/>
        </w:numPr>
        <w:spacing w:after="70" w:line="268"/>
        <w:jc w:val="both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000000"/>
          <w:sz w:val="21"/>
          <w:szCs w:val="21"/>
        </w:rPr>
        <w:t xml:space="preserve">纯自建成本被低估：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从零写风险评分引擎、维护指标口径、跟踪 CRAN 版本变化，长期维护负担重；社区已有成熟工具（riskmetric、valtools）覆盖 80% 的机械性工作，重复造轮子不划算。</w:t>
      </w:r>
    </w:p>
    <w:p>
      <w:pPr>
        <w:pStyle w:val="ListParagraph"/>
        <w:numPr>
          <w:ilvl w:val="0"/>
          <w:numId w:val="2"/>
        </w:numPr>
        <w:spacing w:after="70" w:line="268"/>
        <w:jc w:val="both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000000"/>
          <w:sz w:val="21"/>
          <w:szCs w:val="21"/>
        </w:rPr>
        <w:t xml:space="preserve">纯采购锁定与合规主体问题：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OpenVal 能省人力，但订阅费持续支出、验证边界受供应商定义、自研包无法外包，且监管责任主体始终是申办方自己，供应商文档只是证据之一。</w:t>
      </w:r>
    </w:p>
    <w:p>
      <w:pPr>
        <w:pStyle w:val="ListParagraph"/>
        <w:numPr>
          <w:ilvl w:val="0"/>
          <w:numId w:val="2"/>
        </w:numPr>
        <w:spacing w:after="70" w:line="268"/>
        <w:jc w:val="both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000000"/>
          <w:sz w:val="21"/>
          <w:szCs w:val="21"/>
        </w:rPr>
        <w:t xml:space="preserve">混合最贴合你的画像：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有人力→能吃下开源框架的搭建与运维；预算有限→把钱花在刀刃上（仅高风险包按需采购）；自研+第三方并存→正好对应 valtools（自研）与 riskmetric（第三方）两条互补主线。</w:t>
      </w:r>
    </w:p>
    <w:p>
      <w:pPr>
        <w:pBdr>
          <w:bottom w:val="single" w:color="C6D0DE" w:sz="6"/>
        </w:pBdr>
        <w:spacing w:after="1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1"/>
        <w:spacing w:after="130" w:before="260"/>
      </w:pPr>
      <w:r>
        <w:rPr>
          <w:rFonts w:ascii="Noto Sans CJK SC" w:cs="Noto Sans CJK SC" w:eastAsia="Noto Sans CJK SC" w:hAnsi="Noto Sans CJK SC"/>
          <w:b/>
          <w:bCs/>
          <w:color w:val="1F3864"/>
          <w:sz w:val="30"/>
          <w:szCs w:val="30"/>
        </w:rPr>
        <w:t xml:space="preserve">2  背景与合规框架：先对齐「验证到底在验什么」</w:t>
      </w:r>
    </w:p>
    <w:p>
      <w:pPr>
        <w:spacing w:after="120" w:before="0" w:line="276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在对比工具之前，必须先厘清 R 包验证的监管逻辑，否则容易把「工具选型」误当成「合规策略」。工具只是产出证据的手段，合规主体和判断标准始终在申办方一侧。</w:t>
      </w:r>
    </w:p>
    <w:p>
      <w:pPr>
        <w:pStyle w:val="Heading2"/>
        <w:spacing w:after="100" w:before="200"/>
      </w:pPr>
      <w:r>
        <w:rPr>
          <w:rFonts w:ascii="Noto Sans CJK SC" w:cs="Noto Sans CJK SC" w:eastAsia="Noto Sans CJK SC" w:hAnsi="Noto Sans CJK SC"/>
          <w:b/>
          <w:bCs/>
          <w:color w:val="2E5A88"/>
          <w:sz w:val="25"/>
          <w:szCs w:val="25"/>
        </w:rPr>
        <w:t xml:space="preserve">2.1  为什么 R 包在申报环境必须验证</w:t>
      </w:r>
    </w:p>
    <w:p>
      <w:pPr>
        <w:spacing w:after="120" w:before="0" w:line="276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监管机构（FDA、EMA、NMPA）并不禁止开源软件用于申报，但要求任何用于产生申报结论的软件都有证据表明其「按预期工作、结果准确可复现」。R 语言与包本身合法可用，关键在于申办方能否为所用的包建立与风险相称的验证证据链。数据完整性（ALCOA+）、可追溯性、可复现性是三条底线。</w:t>
      </w:r>
    </w:p>
    <w:p>
      <w:pPr>
        <w:pStyle w:val="Heading2"/>
        <w:spacing w:after="100" w:before="200"/>
      </w:pPr>
      <w:r>
        <w:rPr>
          <w:rFonts w:ascii="Noto Sans CJK SC" w:cs="Noto Sans CJK SC" w:eastAsia="Noto Sans CJK SC" w:hAnsi="Noto Sans CJK SC"/>
          <w:b/>
          <w:bCs/>
          <w:color w:val="2E5A88"/>
          <w:sz w:val="25"/>
          <w:szCs w:val="25"/>
        </w:rPr>
        <w:t xml:space="preserve">2.2  三个必须先建立的概念</w:t>
      </w:r>
    </w:p>
    <w:p>
      <w:pPr>
        <w:pStyle w:val="Heading3"/>
        <w:spacing w:after="80" w:before="150"/>
      </w:pPr>
      <w:r>
        <w:rPr>
          <w:rFonts w:ascii="Noto Sans CJK SC" w:cs="Noto Sans CJK SC" w:eastAsia="Noto Sans CJK SC" w:hAnsi="Noto Sans CJK SC"/>
          <w:b/>
          <w:bCs/>
          <w:color w:val="595959"/>
          <w:sz w:val="22"/>
          <w:szCs w:val="22"/>
        </w:rPr>
        <w:t xml:space="preserve">① 两条验证主线：软件开发式 vs 风险评估式</w:t>
      </w:r>
    </w:p>
    <w:p>
      <w:pPr>
        <w:pStyle w:val="ListParagraph"/>
        <w:numPr>
          <w:ilvl w:val="0"/>
          <w:numId w:val="2"/>
        </w:numPr>
        <w:spacing w:after="70" w:line="268"/>
        <w:jc w:val="both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000000"/>
          <w:sz w:val="21"/>
          <w:szCs w:val="21"/>
        </w:rPr>
        <w:t xml:space="preserve">软件开发式验证（software-based）：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把包当软件产品，走完整 SDLC——需求（URS/FS）→设计→实现→测试→追溯矩阵→报告。主要用于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000000"/>
          <w:sz w:val="21"/>
          <w:szCs w:val="21"/>
        </w:rPr>
        <w:t xml:space="preserve">自研包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，因为你拥有源码与需求定义权。</w:t>
      </w:r>
    </w:p>
    <w:p>
      <w:pPr>
        <w:pStyle w:val="ListParagraph"/>
        <w:numPr>
          <w:ilvl w:val="0"/>
          <w:numId w:val="2"/>
        </w:numPr>
        <w:spacing w:after="70" w:line="268"/>
        <w:jc w:val="both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000000"/>
          <w:sz w:val="21"/>
          <w:szCs w:val="21"/>
        </w:rPr>
        <w:t xml:space="preserve">风险评估式验证（risk-based）：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对无法控制其开发过程的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000000"/>
          <w:sz w:val="21"/>
          <w:szCs w:val="21"/>
        </w:rPr>
        <w:t xml:space="preserve">第三方开源包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，通过评估「用途、维护活跃度、社区使用度、测试覆盖」等间接证据给出风险分级，再据风险高低决定测试深度。</w:t>
      </w:r>
    </w:p>
    <w:p>
      <w:pPr>
        <w:pStyle w:val="Heading3"/>
        <w:spacing w:after="80" w:before="150"/>
      </w:pPr>
      <w:r>
        <w:rPr>
          <w:rFonts w:ascii="Noto Sans CJK SC" w:cs="Noto Sans CJK SC" w:eastAsia="Noto Sans CJK SC" w:hAnsi="Noto Sans CJK SC"/>
          <w:b/>
          <w:bCs/>
          <w:color w:val="595959"/>
          <w:sz w:val="22"/>
          <w:szCs w:val="22"/>
        </w:rPr>
        <w:t xml:space="preserve">② 「Intended for use」聚焦原则</w:t>
      </w:r>
    </w:p>
    <w:p>
      <w:pPr>
        <w:spacing w:after="120" w:before="0" w:line="276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 Validation Hub 白皮书的关键主张：风险评估应聚焦于用户直接调用的包（intended-for-use），而非其所有间接依赖（Imports）。对直接调用包的功能验证，本身就间接测试了它所依赖的底层包。依赖只需从可复现性角度做版本管理，不必逐一做准确性验证。这条原则直接决定了你的验证工作量能否收敛。</w:t>
      </w:r>
    </w:p>
    <w:p>
      <w:pPr>
        <w:pStyle w:val="Heading3"/>
        <w:spacing w:after="80" w:before="150"/>
      </w:pPr>
      <w:r>
        <w:rPr>
          <w:rFonts w:ascii="Noto Sans CJK SC" w:cs="Noto Sans CJK SC" w:eastAsia="Noto Sans CJK SC" w:hAnsi="Noto Sans CJK SC"/>
          <w:b/>
          <w:bCs/>
          <w:color w:val="595959"/>
          <w:sz w:val="22"/>
          <w:szCs w:val="22"/>
        </w:rPr>
        <w:t xml:space="preserve">③ 包的三分类与差异化要求</w:t>
      </w:r>
    </w:p>
    <w:tbl>
      <w:tblPr>
        <w:tblW w:type="dxa" w:w="9020"/>
        <w:tblBorders>
          <w:top w:val="single" w:color="AAB4C4" w:sz="3"/>
          <w:left w:val="single" w:color="AAB4C4" w:sz="3"/>
          <w:bottom w:val="single" w:color="AAB4C4" w:sz="3"/>
          <w:right w:val="single" w:color="AAB4C4" w:sz="3"/>
          <w:insideH w:val="single" w:color="AAB4C4" w:sz="3"/>
          <w:insideV w:val="single" w:color="AAB4C4" w:sz="3"/>
        </w:tblBorders>
      </w:tblPr>
      <w:tblGrid>
        <w:gridCol w:w="2200"/>
        <w:gridCol w:w="3200"/>
        <w:gridCol w:w="362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包类型</w:t>
            </w:r>
          </w:p>
        </w:tc>
        <w:tc>
          <w:tcPr>
            <w:tcW w:type="dxa" w:w="32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特征</w:t>
            </w:r>
          </w:p>
        </w:tc>
        <w:tc>
          <w:tcPr>
            <w:tcW w:type="dxa" w:w="362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验证要求</w:t>
            </w:r>
          </w:p>
        </w:tc>
      </w:tr>
      <w:tr>
        <w:tc>
          <w:tcPr>
            <w:tcW w:type="dxa" w:w="2200"/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Base / Recommended（核心包）</w:t>
            </w:r>
          </w:p>
        </w:tc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 Foundation 开发并随 R 发行，SDLC 严格</w:t>
            </w:r>
          </w:p>
        </w:tc>
        <w:tc>
          <w:tcPr>
            <w:tcW w:type="dxa" w:w="36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视为低风险，一般无需额外补充验证</w:t>
            </w:r>
          </w:p>
        </w:tc>
      </w:tr>
      <w:tr>
        <w:tc>
          <w:tcPr>
            <w:tcW w:type="dxa" w:w="2200"/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Contributed（第三方开源）</w:t>
            </w:r>
          </w:p>
        </w:tc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CRAN/GitHub 等，任何人可发布，仅过基本技术检查，准确性无保证</w:t>
            </w:r>
          </w:p>
        </w:tc>
        <w:tc>
          <w:tcPr>
            <w:tcW w:type="dxa" w:w="36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按风险分级：低风险轻量、中高风险需针对用途补充单元测试（testthat）</w:t>
            </w:r>
          </w:p>
        </w:tc>
      </w:tr>
      <w:tr>
        <w:tc>
          <w:tcPr>
            <w:tcW w:type="dxa" w:w="2200"/>
            <w:shd w:fill="FCE4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Custom（自研）</w:t>
            </w:r>
          </w:p>
        </w:tc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为特定用途定制、使用者面窄</w:t>
            </w:r>
          </w:p>
        </w:tc>
        <w:tc>
          <w:tcPr>
            <w:tcW w:type="dxa" w:w="36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最需严格软件开发式验证；受众小反而更应重视</w:t>
            </w:r>
          </w:p>
        </w:tc>
      </w:tr>
    </w:tbl>
    <w:p>
      <w:pPr>
        <w:spacing w:after="40" w:before="0" w:line="276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00" w:before="200"/>
      </w:pPr>
      <w:r>
        <w:rPr>
          <w:rFonts w:ascii="Noto Sans CJK SC" w:cs="Noto Sans CJK SC" w:eastAsia="Noto Sans CJK SC" w:hAnsi="Noto Sans CJK SC"/>
          <w:b/>
          <w:bCs/>
          <w:color w:val="2E5A88"/>
          <w:sz w:val="25"/>
          <w:szCs w:val="25"/>
        </w:rPr>
        <w:t xml:space="preserve">2.3  可对齐的指导文件锚点</w:t>
      </w:r>
    </w:p>
    <w:p>
      <w:pPr>
        <w:pStyle w:val="ListParagraph"/>
        <w:numPr>
          <w:ilvl w:val="0"/>
          <w:numId w:val="2"/>
        </w:numPr>
        <w:spacing w:after="70" w:line="268"/>
        <w:jc w:val="both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000000"/>
          <w:sz w:val="21"/>
          <w:szCs w:val="21"/>
        </w:rPr>
        <w:t xml:space="preserve">R Foundation《R: Regulatory Compliance and Validation Issues》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（2018）——R 用于受监管临床环境的基础性指导。</w:t>
      </w:r>
    </w:p>
    <w:p>
      <w:pPr>
        <w:pStyle w:val="ListParagraph"/>
        <w:numPr>
          <w:ilvl w:val="0"/>
          <w:numId w:val="2"/>
        </w:numPr>
        <w:spacing w:after="70" w:line="268"/>
        <w:jc w:val="both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000000"/>
          <w:sz w:val="21"/>
          <w:szCs w:val="21"/>
        </w:rPr>
        <w:t xml:space="preserve">R Validation Hub 白皮书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《A Risk-based Approach for Assessing R Package Accuracy within a Validated Infrastructure》（2020）——风险评估四准则的来源。</w:t>
      </w:r>
    </w:p>
    <w:p>
      <w:pPr>
        <w:pStyle w:val="ListParagraph"/>
        <w:numPr>
          <w:ilvl w:val="0"/>
          <w:numId w:val="2"/>
        </w:numPr>
        <w:spacing w:after="70" w:line="268"/>
        <w:jc w:val="both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000000"/>
          <w:sz w:val="21"/>
          <w:szCs w:val="21"/>
        </w:rPr>
        <w:t xml:space="preserve">ISPE GAMP 5（第二版，2022）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——计算机化系统生命周期最小交付物：规范（Specifications）、风险评估（RA）、测试（Tests）、追溯矩阵（Traceability Matrix）；软件按类别分级验证的思想与风险评估法一致。</w:t>
      </w:r>
    </w:p>
    <w:p>
      <w:pPr>
        <w:pStyle w:val="ListParagraph"/>
        <w:numPr>
          <w:ilvl w:val="0"/>
          <w:numId w:val="2"/>
        </w:numPr>
        <w:spacing w:after="70" w:line="268"/>
        <w:jc w:val="both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000000"/>
          <w:sz w:val="21"/>
          <w:szCs w:val="21"/>
        </w:rPr>
        <w:t xml:space="preserve">FDA CSA（Computer Software Assurance）思路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——把有限验证资源投向高风险功能，与「风险分级」完全同向。</w:t>
      </w:r>
    </w:p>
    <w:p>
      <w:pPr>
        <w:pStyle w:val="ListParagraph"/>
        <w:numPr>
          <w:ilvl w:val="0"/>
          <w:numId w:val="2"/>
        </w:numPr>
        <w:spacing w:after="70" w:line="268"/>
        <w:jc w:val="both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000000"/>
          <w:sz w:val="21"/>
          <w:szCs w:val="21"/>
        </w:rPr>
        <w:t xml:space="preserve">TransCelerate MSA、Posit/RStudio 合规文档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——环境（Workbench / Package Manager / Connect）层面的合规证据。</w:t>
      </w:r>
    </w:p>
    <w:p>
      <w:pPr>
        <w:pStyle w:val="ListParagraph"/>
        <w:numPr>
          <w:ilvl w:val="0"/>
          <w:numId w:val="2"/>
        </w:numPr>
        <w:spacing w:after="70" w:line="268"/>
        <w:jc w:val="both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000000"/>
          <w:sz w:val="21"/>
          <w:szCs w:val="21"/>
        </w:rPr>
        <w:t xml:space="preserve">NMPA 视角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——《药物临床试验数据管理与统计分析计划》《计算机化系统》相关要求与数据完整性原则；若涉及国内申报，同一套证据链（RA + 测试 + 追溯 + 变更控制）通常可复用，但需以中文 SOP 固化并保留签署记录。</w:t>
      </w:r>
    </w:p>
    <w:p>
      <w:pPr>
        <w:pBdr>
          <w:bottom w:val="single" w:color="C6D0DE" w:sz="6"/>
        </w:pBdr>
        <w:spacing w:after="1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1"/>
        <w:spacing w:after="130" w:before="260"/>
      </w:pPr>
      <w:r>
        <w:rPr>
          <w:rFonts w:ascii="Noto Sans CJK SC" w:cs="Noto Sans CJK SC" w:eastAsia="Noto Sans CJK SC" w:hAnsi="Noto Sans CJK SC"/>
          <w:b/>
          <w:bCs/>
          <w:color w:val="1F3864"/>
          <w:sz w:val="30"/>
          <w:szCs w:val="30"/>
        </w:rPr>
        <w:t xml:space="preserve">3  四家 / 工具逐一剖析</w:t>
      </w:r>
    </w:p>
    <w:p>
      <w:pPr>
        <w:pStyle w:val="Heading2"/>
        <w:spacing w:after="100" w:before="200"/>
      </w:pPr>
      <w:r>
        <w:rPr>
          <w:rFonts w:ascii="Noto Sans CJK SC" w:cs="Noto Sans CJK SC" w:eastAsia="Noto Sans CJK SC" w:hAnsi="Noto Sans CJK SC"/>
          <w:b/>
          <w:bCs/>
          <w:color w:val="2E5A88"/>
          <w:sz w:val="25"/>
          <w:szCs w:val="25"/>
        </w:rPr>
        <w:t xml:space="preserve">3.1  R Validation Hub（pharmaR）——开源标准与风险评估引擎</w:t>
      </w:r>
    </w:p>
    <w:p>
      <w:pPr>
        <w:spacing w:after="120" w:before="0" w:line="276"/>
        <w:jc w:val="both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000000"/>
          <w:sz w:val="21"/>
          <w:szCs w:val="21"/>
        </w:rPr>
        <w:t xml:space="preserve">定位：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由 PSI 的 AIMS SIG 于 2018 年发起、现挂靠 R Consortium 的跨行业非营利协作组织，使命是让 R 能用于生物制药监管申报。它提供的是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000000"/>
          <w:sz w:val="21"/>
          <w:szCs w:val="21"/>
        </w:rPr>
        <w:t xml:space="preserve">方法论 + 开源工具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，不卖服务。</w:t>
      </w:r>
    </w:p>
    <w:p>
      <w:pPr>
        <w:spacing w:after="120" w:before="0" w:line="276"/>
        <w:jc w:val="both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000000"/>
          <w:sz w:val="21"/>
          <w:szCs w:val="21"/>
        </w:rPr>
        <w:t xml:space="preserve">产出物：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① 白皮书（风险评估四准则：用途/类型、维护、社区使用、测试）；② 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000000"/>
          <w:sz w:val="21"/>
          <w:szCs w:val="21"/>
        </w:rPr>
        <w:t xml:space="preserve">{riskmetric}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R 包——抓取包元数据并对开发实践、文档、社区参与、可维护性等约 20+ 指标打分，聚合为 0–1 风险分（现转入仅维护状态）；③ 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000000"/>
          <w:sz w:val="21"/>
          <w:szCs w:val="21"/>
        </w:rPr>
        <w:t xml:space="preserve">{riskassessment}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Shiny 应用——在 riskmetric 之上提供组织级评审界面、指标加权、人工评级、阈值决策与可下载报告；④ 新旗舰 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000000"/>
          <w:sz w:val="21"/>
          <w:szCs w:val="21"/>
        </w:rPr>
        <w:t xml:space="preserve">{val.meter}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——官方正把开发重心迁移到它，作为下一代评估工具。</w:t>
      </w:r>
    </w:p>
    <w:p>
      <w:pPr>
        <w:spacing w:after="120" w:before="0" w:line="276"/>
        <w:jc w:val="both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000000"/>
          <w:sz w:val="21"/>
          <w:szCs w:val="21"/>
        </w:rPr>
        <w:t xml:space="preserve">重要边界：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riskmetric 明确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9C2B2B"/>
          <w:sz w:val="21"/>
          <w:szCs w:val="21"/>
        </w:rPr>
        <w:t xml:space="preserve">不评估「准确性」与「影响」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——它衡量的是「代码质量/风险的间接信号」，而某个函数算得对不对、算错了后果多大，必须由组织自行通过针对用途的测试和人工判断来确定。这是所有纯自动化打分工具的共同天花板。</w:t>
      </w:r>
    </w:p>
    <w:tbl>
      <w:tblPr>
        <w:tblW w:type="dxa" w:w="9020"/>
        <w:tblBorders>
          <w:top w:val="single" w:color="AAB4C4" w:sz="3"/>
          <w:left w:val="single" w:color="AAB4C4" w:sz="3"/>
          <w:bottom w:val="single" w:color="AAB4C4" w:sz="3"/>
          <w:right w:val="single" w:color="AAB4C4" w:sz="3"/>
          <w:insideH w:val="single" w:color="AAB4C4" w:sz="3"/>
          <w:insideV w:val="single" w:color="AAB4C4" w:sz="3"/>
        </w:tblBorders>
      </w:tblPr>
      <w:tblGrid>
        <w:gridCol w:w="4510"/>
        <w:gridCol w:w="4510"/>
      </w:tblGrid>
      <w:tr>
        <w:tc>
          <w:tcPr>
            <w:tcW w:type="dxa" w:w="4510"/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优点</w:t>
            </w:r>
          </w:p>
        </w:tc>
        <w:tc>
          <w:tcPr>
            <w:tcW w:type="dxa" w:w="4510"/>
            <w:shd w:fill="FDECE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缺点/注意</w:t>
            </w:r>
          </w:p>
        </w:tc>
      </w:tr>
      <w:tr>
        <w:tc>
          <w:tcPr>
            <w:tcW w:type="dxa" w:w="45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免费、开源、社区共识背书，最贴合监管期望的「风险分级」范式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指标可编程、可批量、可复现，天然产出结构化证据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riskassessment 提供组织级评审留痕与阈值规则，接近可直接用于 GxP 决策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有白皮书作为方法论出处，审计时可引用</w:t>
            </w:r>
          </w:p>
        </w:tc>
        <w:tc>
          <w:tcPr>
            <w:tcW w:type="dxa" w:w="45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只解决第三方包「风险打分」，不覆盖自研包的完整 SDLC 验证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不判断准确性，仍需大量人工测试补齐高风险包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指标权重/阈值需组织自行定义与固化，前期投入不小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riskmetric 转维护、val.meter 尚在演进，需跟踪版本与迁移路径</w:t>
            </w:r>
          </w:p>
        </w:tc>
      </w:tr>
    </w:tbl>
    <w:p>
      <w:pPr>
        <w:pStyle w:val="Heading2"/>
        <w:spacing w:after="100" w:before="200"/>
      </w:pPr>
      <w:r>
        <w:rPr>
          <w:rFonts w:ascii="Noto Sans CJK SC" w:cs="Noto Sans CJK SC" w:eastAsia="Noto Sans CJK SC" w:hAnsi="Noto Sans CJK SC"/>
          <w:b/>
          <w:bCs/>
          <w:color w:val="2E5A88"/>
          <w:sz w:val="25"/>
          <w:szCs w:val="25"/>
        </w:rPr>
        <w:t xml:space="preserve">3.2  PHUSE valtools——自研包的验证框架（RPVF）脚手架</w:t>
      </w:r>
    </w:p>
    <w:p>
      <w:pPr>
        <w:spacing w:after="120" w:before="0" w:line="276"/>
        <w:jc w:val="both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000000"/>
          <w:sz w:val="21"/>
          <w:szCs w:val="21"/>
        </w:rPr>
        <w:t xml:space="preserve">定位：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由 PHUSE「R Package Validation Framework」工作组开发的 R 包，是对 usethis/devtools 标准开发流程的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000000"/>
          <w:sz w:val="21"/>
          <w:szCs w:val="21"/>
        </w:rPr>
        <w:t xml:space="preserve">「螺栓式」补充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，把验证基础设施直接嵌进包的 vignettes/validation 目录。所有函数以 vt_ 前缀开头。</w:t>
      </w:r>
    </w:p>
    <w:p>
      <w:pPr>
        <w:spacing w:after="120" w:before="0" w:line="276"/>
        <w:jc w:val="both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000000"/>
          <w:sz w:val="21"/>
          <w:szCs w:val="21"/>
        </w:rPr>
        <w:t xml:space="preserve">工作流：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vt_create_package() 建带验证骨架的新包 → vt_use_validation() 给现有包加验证基建 → vt_use_req() 写需求 → vt_use_test_case() / vt_use_test_code() 写测试用例与测试代码 → vt_use_change_log() 变更日志 → vt_use_report() 生成验证报告 Rmd。报告编译时自动生成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000000"/>
          <w:sz w:val="21"/>
          <w:szCs w:val="21"/>
        </w:rPr>
        <w:t xml:space="preserve">需求—测试—追溯矩阵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，正好对应 GAMP 5 的最小交付物。</w:t>
      </w:r>
    </w:p>
    <w:p>
      <w:pPr>
        <w:spacing w:after="120" w:before="0" w:line="276"/>
        <w:jc w:val="both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000000"/>
          <w:sz w:val="21"/>
          <w:szCs w:val="21"/>
        </w:rPr>
        <w:t xml:space="preserve">四种验证时点（灵活适配不同 SOP）：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Validation on Source（源码）、on Build（编译成不可变 tar）、on Install（安装到目标机时重跑）、After Install（环境更新后随时再验证）。这让「验证证据跟随包分发」成为可能。</w:t>
      </w:r>
    </w:p>
    <w:tbl>
      <w:tblPr>
        <w:tblW w:type="dxa" w:w="9020"/>
        <w:tblBorders>
          <w:top w:val="single" w:color="AAB4C4" w:sz="3"/>
          <w:left w:val="single" w:color="AAB4C4" w:sz="3"/>
          <w:bottom w:val="single" w:color="AAB4C4" w:sz="3"/>
          <w:right w:val="single" w:color="AAB4C4" w:sz="3"/>
          <w:insideH w:val="single" w:color="AAB4C4" w:sz="3"/>
          <w:insideV w:val="single" w:color="AAB4C4" w:sz="3"/>
        </w:tblBorders>
      </w:tblPr>
      <w:tblGrid>
        <w:gridCol w:w="4510"/>
        <w:gridCol w:w="4510"/>
      </w:tblGrid>
      <w:tr>
        <w:tc>
          <w:tcPr>
            <w:tcW w:type="dxa" w:w="4510"/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优点</w:t>
            </w:r>
          </w:p>
        </w:tc>
        <w:tc>
          <w:tcPr>
            <w:tcW w:type="dxa" w:w="4510"/>
            <w:shd w:fill="FDECE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缺点/注意</w:t>
            </w:r>
          </w:p>
        </w:tc>
      </w:tr>
      <w:tr>
        <w:tc>
          <w:tcPr>
            <w:tcW w:type="dxa" w:w="45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专为自研包设计，直接产出需求/测试/追溯/报告全套 GxP 文档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与 R 原生开发工具链无缝衔接，学习曲线平缓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报告可复现、可版本化，验证随包走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有 FredHutch 公开教程与社区案例可借鉴</w:t>
            </w:r>
          </w:p>
        </w:tc>
        <w:tc>
          <w:tcPr>
            <w:tcW w:type="dxa" w:w="45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主要面向「你拥有源码」的包，不解决第三方包风险评估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报告编译可能耗时（含全部测试代码运行，复杂包可达数十小时）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存在社区 fork 修 bug 的情况，需锁定可信版本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需求/测试要人来写，工具只是脚手架而非替你验证</w:t>
            </w:r>
          </w:p>
        </w:tc>
      </w:tr>
    </w:tbl>
    <w:p>
      <w:pPr>
        <w:pStyle w:val="Heading2"/>
        <w:spacing w:after="100" w:before="200"/>
      </w:pPr>
      <w:r>
        <w:rPr>
          <w:rFonts w:ascii="Noto Sans CJK SC" w:cs="Noto Sans CJK SC" w:eastAsia="Noto Sans CJK SC" w:hAnsi="Noto Sans CJK SC"/>
          <w:b/>
          <w:bCs/>
          <w:color w:val="2E5A88"/>
          <w:sz w:val="25"/>
          <w:szCs w:val="25"/>
        </w:rPr>
        <w:t xml:space="preserve">3.3  Atorus Research / OpenVal——商业「验证包即服务」</w:t>
      </w:r>
    </w:p>
    <w:p>
      <w:pPr>
        <w:spacing w:after="120" w:before="0" w:line="276"/>
        <w:jc w:val="both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000000"/>
          <w:sz w:val="21"/>
          <w:szCs w:val="21"/>
        </w:rPr>
        <w:t xml:space="preserve">定位：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OpenVal 是 Atorus 的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000000"/>
          <w:sz w:val="21"/>
          <w:szCs w:val="21"/>
        </w:rPr>
        <w:t xml:space="preserve">订阅制商业产品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：一个不断增长的已验证 R 包仓库（约 300+ 且持续扩充）+ 验证文档 + R 环境交付系统，采用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000000"/>
          <w:sz w:val="21"/>
          <w:szCs w:val="21"/>
        </w:rPr>
        <w:t xml:space="preserve">自动化 + 人工混合测试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。可按需提交缺失包的验证请求，验证成果在客户间共享复用。</w:t>
      </w:r>
    </w:p>
    <w:p>
      <w:pPr>
        <w:spacing w:after="120" w:before="0" w:line="276"/>
        <w:jc w:val="both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000000"/>
          <w:sz w:val="21"/>
          <w:szCs w:val="21"/>
        </w:rPr>
        <w:t xml:space="preserve">方法论：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与 R Validation Hub 同源（也引用四准则），但补充了强人工判断——例如指出「80% 代码覆盖率≠关键函数被测到」，强调人工审查关键统计函数。可搭配 Posit Package Manager 把已验证包发布为内部「Validated」仓库。</w:t>
      </w:r>
    </w:p>
    <w:tbl>
      <w:tblPr>
        <w:tblW w:type="dxa" w:w="9020"/>
        <w:tblBorders>
          <w:top w:val="single" w:color="AAB4C4" w:sz="3"/>
          <w:left w:val="single" w:color="AAB4C4" w:sz="3"/>
          <w:bottom w:val="single" w:color="AAB4C4" w:sz="3"/>
          <w:right w:val="single" w:color="AAB4C4" w:sz="3"/>
          <w:insideH w:val="single" w:color="AAB4C4" w:sz="3"/>
          <w:insideV w:val="single" w:color="AAB4C4" w:sz="3"/>
        </w:tblBorders>
      </w:tblPr>
      <w:tblGrid>
        <w:gridCol w:w="4510"/>
        <w:gridCol w:w="4510"/>
      </w:tblGrid>
      <w:tr>
        <w:tc>
          <w:tcPr>
            <w:tcW w:type="dxa" w:w="4510"/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优点</w:t>
            </w:r>
          </w:p>
        </w:tc>
        <w:tc>
          <w:tcPr>
            <w:tcW w:type="dxa" w:w="4510"/>
            <w:shd w:fill="FDECE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缺点/注意</w:t>
            </w:r>
          </w:p>
        </w:tc>
      </w:tr>
      <w:tr>
        <w:tc>
          <w:tcPr>
            <w:tcW w:type="dxa" w:w="45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买现成，最省人力与前期投入，上手快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混合验证含人工判断，覆盖自动打分的盲区（准确性）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包与文档在客户间摊薄成本，社区效应带来更多已验证包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适合小 biotech 快速起步或大厂快速铺开</w:t>
            </w:r>
          </w:p>
        </w:tc>
        <w:tc>
          <w:tcPr>
            <w:tcW w:type="dxa" w:w="45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持续订阅费；预算有限者长期成本需算清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验证边界由供应商定义，未必完全匹配你的用途与 SOP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无法覆盖你的自研包；供应商文档是证据之一而非合规责任转移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存在供应商锁定与可迁移性风险</w:t>
            </w:r>
          </w:p>
        </w:tc>
      </w:tr>
    </w:tbl>
    <w:p>
      <w:pPr>
        <w:pStyle w:val="Heading2"/>
        <w:spacing w:after="100" w:before="200"/>
      </w:pPr>
      <w:r>
        <w:rPr>
          <w:rFonts w:ascii="Noto Sans CJK SC" w:cs="Noto Sans CJK SC" w:eastAsia="Noto Sans CJK SC" w:hAnsi="Noto Sans CJK SC"/>
          <w:b/>
          <w:bCs/>
          <w:color w:val="2E5A88"/>
          <w:sz w:val="25"/>
          <w:szCs w:val="25"/>
        </w:rPr>
        <w:t xml:space="preserve">3.4  Jumping Rivers（Litmusverse）——咨询 + 自研工具箱</w:t>
      </w:r>
    </w:p>
    <w:p>
      <w:pPr>
        <w:spacing w:after="120" w:before="0" w:line="276"/>
        <w:jc w:val="both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000000"/>
          <w:sz w:val="21"/>
          <w:szCs w:val="21"/>
        </w:rPr>
        <w:t xml:space="preserve">定位：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一家数据科学咨询公司，长期做 R 包验证，自研了 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000000"/>
          <w:sz w:val="21"/>
          <w:szCs w:val="21"/>
        </w:rPr>
        <w:t xml:space="preserve">Litmusverse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工具箱（含 Litmus.dashboard——交互式浏览包级风险分并跟踪随时间变化）。底层同样整合社区工具：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riskmetric（风险打分）、oysteR（CVE 安全漏洞扫描）、diffify（跨版本差异比对）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。也提供 Shiny 应用验证、健康检查等服务。</w:t>
      </w:r>
    </w:p>
    <w:tbl>
      <w:tblPr>
        <w:tblW w:type="dxa" w:w="9020"/>
        <w:tblBorders>
          <w:top w:val="single" w:color="AAB4C4" w:sz="3"/>
          <w:left w:val="single" w:color="AAB4C4" w:sz="3"/>
          <w:bottom w:val="single" w:color="AAB4C4" w:sz="3"/>
          <w:right w:val="single" w:color="AAB4C4" w:sz="3"/>
          <w:insideH w:val="single" w:color="AAB4C4" w:sz="3"/>
          <w:insideV w:val="single" w:color="AAB4C4" w:sz="3"/>
        </w:tblBorders>
      </w:tblPr>
      <w:tblGrid>
        <w:gridCol w:w="4510"/>
        <w:gridCol w:w="4510"/>
      </w:tblGrid>
      <w:tr>
        <w:tc>
          <w:tcPr>
            <w:tcW w:type="dxa" w:w="4510"/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优点</w:t>
            </w:r>
          </w:p>
        </w:tc>
        <w:tc>
          <w:tcPr>
            <w:tcW w:type="dxa" w:w="4510"/>
            <w:shd w:fill="FDECE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缺点/注意</w:t>
            </w:r>
          </w:p>
        </w:tc>
      </w:tr>
      <w:tr>
        <w:tc>
          <w:tcPr>
            <w:tcW w:type="dxa" w:w="45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服务+工具结合，能补齐团队方法论与人力缺口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覆盖安全（oysteR）与版本变更（diffify）等常被忽略的维度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把 Shiny 应用当包来验证的思路，对交互式工具很实用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适合需要外部专家背书或阶段性加速的团队</w:t>
            </w:r>
          </w:p>
        </w:tc>
        <w:tc>
          <w:tcPr>
            <w:tcW w:type="dxa" w:w="45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以咨询/服务为主，成本模式偏项目制，非纯开源自助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Litmusverse 部分为其自研，长期依赖存在耦合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对「自建为主」的团队，更适合作为专项外援而非主干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能力与交付质量依赖具体合作范围</w:t>
            </w:r>
          </w:p>
        </w:tc>
      </w:tr>
    </w:tbl>
    <w:p>
      <w:pPr>
        <w:pStyle w:val="Heading3"/>
        <w:spacing w:after="80" w:before="150"/>
      </w:pPr>
      <w:r>
        <w:rPr>
          <w:rFonts w:ascii="Noto Sans CJK SC" w:cs="Noto Sans CJK SC" w:eastAsia="Noto Sans CJK SC" w:hAnsi="Noto Sans CJK SC"/>
          <w:b/>
          <w:bCs/>
          <w:color w:val="595959"/>
          <w:sz w:val="22"/>
          <w:szCs w:val="22"/>
        </w:rPr>
        <w:t xml:space="preserve">3.5  配套（非同类但落地必备）</w:t>
      </w:r>
    </w:p>
    <w:p>
      <w:pPr>
        <w:pStyle w:val="ListParagraph"/>
        <w:numPr>
          <w:ilvl w:val="0"/>
          <w:numId w:val="2"/>
        </w:numPr>
        <w:spacing w:after="70" w:line="268"/>
        <w:jc w:val="both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000000"/>
          <w:sz w:val="21"/>
          <w:szCs w:val="21"/>
        </w:rPr>
        <w:t xml:space="preserve">Posit Package Manager（PPM）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：冻结 CRAN/Bioconductor 快照、建内部「Validated」仓库、基于 osv.dev 做漏洞扫描——环境层可复现性的基石。</w:t>
      </w:r>
    </w:p>
    <w:p>
      <w:pPr>
        <w:pStyle w:val="ListParagraph"/>
        <w:numPr>
          <w:ilvl w:val="0"/>
          <w:numId w:val="2"/>
        </w:numPr>
        <w:spacing w:after="70" w:line="268"/>
        <w:jc w:val="both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000000"/>
          <w:sz w:val="21"/>
          <w:szCs w:val="21"/>
        </w:rPr>
        <w:t xml:space="preserve">renv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：项目级依赖锁定，保证 R 版本与包版本可还原。</w:t>
      </w:r>
    </w:p>
    <w:p>
      <w:pPr>
        <w:pStyle w:val="ListParagraph"/>
        <w:numPr>
          <w:ilvl w:val="0"/>
          <w:numId w:val="2"/>
        </w:numPr>
        <w:spacing w:after="70" w:line="268"/>
        <w:jc w:val="both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000000"/>
          <w:sz w:val="21"/>
          <w:szCs w:val="21"/>
        </w:rPr>
        <w:t xml:space="preserve">thevalidatoR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：另一款自动生成验证报告的工具，可与 valtools 互为参考。</w:t>
      </w:r>
    </w:p>
    <w:p>
      <w:pPr>
        <w:pBdr>
          <w:bottom w:val="single" w:color="C6D0DE" w:sz="6"/>
        </w:pBdr>
        <w:spacing w:after="1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1"/>
        <w:spacing w:after="130" w:before="260"/>
      </w:pPr>
      <w:r>
        <w:rPr>
          <w:rFonts w:ascii="Noto Sans CJK SC" w:cs="Noto Sans CJK SC" w:eastAsia="Noto Sans CJK SC" w:hAnsi="Noto Sans CJK SC"/>
          <w:b/>
          <w:bCs/>
          <w:color w:val="1F3864"/>
          <w:sz w:val="30"/>
          <w:szCs w:val="30"/>
        </w:rPr>
        <w:t xml:space="preserve">4  横向对比矩阵</w:t>
      </w:r>
    </w:p>
    <w:p>
      <w:pPr>
        <w:spacing w:after="120" w:before="0" w:line="276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下表按关键决策维度并排四家。注意 R Validation Hub 与 valtools 高度互补（前者管第三方评估、后者管自研验证），实际自建方案通常两者一起用。</w:t>
      </w:r>
    </w:p>
    <w:tbl>
      <w:tblPr>
        <w:tblW w:type="dxa" w:w="9020"/>
        <w:tblBorders>
          <w:top w:val="single" w:color="AAB4C4" w:sz="3"/>
          <w:left w:val="single" w:color="AAB4C4" w:sz="3"/>
          <w:bottom w:val="single" w:color="AAB4C4" w:sz="3"/>
          <w:right w:val="single" w:color="AAB4C4" w:sz="3"/>
          <w:insideH w:val="single" w:color="AAB4C4" w:sz="3"/>
          <w:insideV w:val="single" w:color="AAB4C4" w:sz="3"/>
        </w:tblBorders>
      </w:tblPr>
      <w:tblGrid>
        <w:gridCol w:w="1700"/>
        <w:gridCol w:w="1830"/>
        <w:gridCol w:w="1830"/>
        <w:gridCol w:w="1830"/>
        <w:gridCol w:w="1830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维度</w:t>
            </w:r>
          </w:p>
        </w:tc>
        <w:tc>
          <w:tcPr>
            <w:tcW w:type="dxa" w:w="183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 Validation Hub</w:t>
            </w:r>
          </w:p>
        </w:tc>
        <w:tc>
          <w:tcPr>
            <w:tcW w:type="dxa" w:w="183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valtools (PHUSE)</w:t>
            </w:r>
          </w:p>
        </w:tc>
        <w:tc>
          <w:tcPr>
            <w:tcW w:type="dxa" w:w="183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Atorus / OpenVal</w:t>
            </w:r>
          </w:p>
        </w:tc>
        <w:tc>
          <w:tcPr>
            <w:tcW w:type="dxa" w:w="183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Jumping Rivers</w:t>
            </w:r>
          </w:p>
        </w:tc>
      </w:tr>
      <w:tr>
        <w:tc>
          <w:tcPr>
            <w:tcW w:type="dxa" w:w="1700"/>
            <w:shd w:fill="EEF2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物种</w:t>
            </w:r>
          </w:p>
        </w:tc>
        <w:tc>
          <w:tcPr>
            <w:tcW w:type="dxa" w:w="1830"/>
            <w:shd w:fill="EEF2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开源标准+评估引擎</w:t>
            </w:r>
          </w:p>
        </w:tc>
        <w:tc>
          <w:tcPr>
            <w:tcW w:type="dxa" w:w="1830"/>
            <w:shd w:fill="EEF2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开源验证框架脚手架</w:t>
            </w:r>
          </w:p>
        </w:tc>
        <w:tc>
          <w:tcPr>
            <w:tcW w:type="dxa" w:w="1830"/>
            <w:shd w:fill="EEF2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商业验证包订阅</w:t>
            </w:r>
          </w:p>
        </w:tc>
        <w:tc>
          <w:tcPr>
            <w:tcW w:type="dxa" w:w="1830"/>
            <w:shd w:fill="EEF2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咨询+自研工具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主要覆盖包类型</w:t>
            </w:r>
          </w:p>
        </w:tc>
        <w:tc>
          <w:tcPr>
            <w:tcW w:type="dxa" w:w="183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第三方开源包</w:t>
            </w:r>
          </w:p>
        </w:tc>
        <w:tc>
          <w:tcPr>
            <w:tcW w:type="dxa" w:w="183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自研/自控源码包</w:t>
            </w:r>
          </w:p>
        </w:tc>
        <w:tc>
          <w:tcPr>
            <w:tcW w:type="dxa" w:w="183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第三方（含部分）</w:t>
            </w:r>
          </w:p>
        </w:tc>
        <w:tc>
          <w:tcPr>
            <w:tcW w:type="dxa" w:w="183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第三方 + Shiny 应用</w:t>
            </w:r>
          </w:p>
        </w:tc>
      </w:tr>
      <w:tr>
        <w:tc>
          <w:tcPr>
            <w:tcW w:type="dxa" w:w="1700"/>
            <w:shd w:fill="EEF2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开源/商业</w:t>
            </w:r>
          </w:p>
        </w:tc>
        <w:tc>
          <w:tcPr>
            <w:tcW w:type="dxa" w:w="1830"/>
            <w:shd w:fill="EEF2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免费开源</w:t>
            </w:r>
          </w:p>
        </w:tc>
        <w:tc>
          <w:tcPr>
            <w:tcW w:type="dxa" w:w="1830"/>
            <w:shd w:fill="EEF2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免费开源</w:t>
            </w:r>
          </w:p>
        </w:tc>
        <w:tc>
          <w:tcPr>
            <w:tcW w:type="dxa" w:w="1830"/>
            <w:shd w:fill="EEF2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订阅收费</w:t>
            </w:r>
          </w:p>
        </w:tc>
        <w:tc>
          <w:tcPr>
            <w:tcW w:type="dxa" w:w="1830"/>
            <w:shd w:fill="EEF2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服务收费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核心产出</w:t>
            </w:r>
          </w:p>
        </w:tc>
        <w:tc>
          <w:tcPr>
            <w:tcW w:type="dxa" w:w="183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风险分+评审报告</w:t>
            </w:r>
          </w:p>
        </w:tc>
        <w:tc>
          <w:tcPr>
            <w:tcW w:type="dxa" w:w="183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需求/测试/追溯/报告</w:t>
            </w:r>
          </w:p>
        </w:tc>
        <w:tc>
          <w:tcPr>
            <w:tcW w:type="dxa" w:w="183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已验证包+文档+环境</w:t>
            </w:r>
          </w:p>
        </w:tc>
        <w:tc>
          <w:tcPr>
            <w:tcW w:type="dxa" w:w="183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风险看板+咨询交付</w:t>
            </w:r>
          </w:p>
        </w:tc>
      </w:tr>
      <w:tr>
        <w:tc>
          <w:tcPr>
            <w:tcW w:type="dxa" w:w="1700"/>
            <w:shd w:fill="EEF2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自动化程度</w:t>
            </w:r>
          </w:p>
        </w:tc>
        <w:tc>
          <w:tcPr>
            <w:tcW w:type="dxa" w:w="1830"/>
            <w:shd w:fill="EEF2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高（可编程批量）</w:t>
            </w:r>
          </w:p>
        </w:tc>
        <w:tc>
          <w:tcPr>
            <w:tcW w:type="dxa" w:w="1830"/>
            <w:shd w:fill="EEF2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中（脚手架+需人写）</w:t>
            </w:r>
          </w:p>
        </w:tc>
        <w:tc>
          <w:tcPr>
            <w:tcW w:type="dxa" w:w="1830"/>
            <w:shd w:fill="EEF2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高（自动+人工）</w:t>
            </w:r>
          </w:p>
        </w:tc>
        <w:tc>
          <w:tcPr>
            <w:tcW w:type="dxa" w:w="1830"/>
            <w:shd w:fill="EEF2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中高（工具+人工）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人工判断</w:t>
            </w:r>
          </w:p>
        </w:tc>
        <w:tc>
          <w:tcPr>
            <w:tcW w:type="dxa" w:w="183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需组织自行补</w:t>
            </w:r>
          </w:p>
        </w:tc>
        <w:tc>
          <w:tcPr>
            <w:tcW w:type="dxa" w:w="183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需组织自行写</w:t>
            </w:r>
          </w:p>
        </w:tc>
        <w:tc>
          <w:tcPr>
            <w:tcW w:type="dxa" w:w="183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供应商已含</w:t>
            </w:r>
          </w:p>
        </w:tc>
        <w:tc>
          <w:tcPr>
            <w:tcW w:type="dxa" w:w="183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供应商/顾问含</w:t>
            </w:r>
          </w:p>
        </w:tc>
      </w:tr>
      <w:tr>
        <w:tc>
          <w:tcPr>
            <w:tcW w:type="dxa" w:w="1700"/>
            <w:shd w:fill="EEF2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准确性验证</w:t>
            </w:r>
          </w:p>
        </w:tc>
        <w:tc>
          <w:tcPr>
            <w:tcW w:type="dxa" w:w="1830"/>
            <w:shd w:fill="EEF2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不含，需自补</w:t>
            </w:r>
          </w:p>
        </w:tc>
        <w:tc>
          <w:tcPr>
            <w:tcW w:type="dxa" w:w="1830"/>
            <w:shd w:fill="EEF2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含（你写测试）</w:t>
            </w:r>
          </w:p>
        </w:tc>
        <w:tc>
          <w:tcPr>
            <w:tcW w:type="dxa" w:w="1830"/>
            <w:shd w:fill="EEF2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含（人工审查）</w:t>
            </w:r>
          </w:p>
        </w:tc>
        <w:tc>
          <w:tcPr>
            <w:tcW w:type="dxa" w:w="1830"/>
            <w:shd w:fill="EEF2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含（服务范围内）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前期投入</w:t>
            </w:r>
          </w:p>
        </w:tc>
        <w:tc>
          <w:tcPr>
            <w:tcW w:type="dxa" w:w="183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中（定阈值/权重）</w:t>
            </w:r>
          </w:p>
        </w:tc>
        <w:tc>
          <w:tcPr>
            <w:tcW w:type="dxa" w:w="183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中（建框架/写测试）</w:t>
            </w:r>
          </w:p>
        </w:tc>
        <w:tc>
          <w:tcPr>
            <w:tcW w:type="dxa" w:w="183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低（买现成）</w:t>
            </w:r>
          </w:p>
        </w:tc>
        <w:tc>
          <w:tcPr>
            <w:tcW w:type="dxa" w:w="183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低-中（外包）</w:t>
            </w:r>
          </w:p>
        </w:tc>
      </w:tr>
      <w:tr>
        <w:tc>
          <w:tcPr>
            <w:tcW w:type="dxa" w:w="1700"/>
            <w:shd w:fill="EEF2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长期成本</w:t>
            </w:r>
          </w:p>
        </w:tc>
        <w:tc>
          <w:tcPr>
            <w:tcW w:type="dxa" w:w="1830"/>
            <w:shd w:fill="EEF2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低（自维护）</w:t>
            </w:r>
          </w:p>
        </w:tc>
        <w:tc>
          <w:tcPr>
            <w:tcW w:type="dxa" w:w="1830"/>
            <w:shd w:fill="EEF2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低（自维护）</w:t>
            </w:r>
          </w:p>
        </w:tc>
        <w:tc>
          <w:tcPr>
            <w:tcW w:type="dxa" w:w="1830"/>
            <w:shd w:fill="EEF2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持续订阅</w:t>
            </w:r>
          </w:p>
        </w:tc>
        <w:tc>
          <w:tcPr>
            <w:tcW w:type="dxa" w:w="1830"/>
            <w:shd w:fill="EEF2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项目制/持续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锁定风险</w:t>
            </w:r>
          </w:p>
        </w:tc>
        <w:tc>
          <w:tcPr>
            <w:tcW w:type="dxa" w:w="183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低</w:t>
            </w:r>
          </w:p>
        </w:tc>
        <w:tc>
          <w:tcPr>
            <w:tcW w:type="dxa" w:w="183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低</w:t>
            </w:r>
          </w:p>
        </w:tc>
        <w:tc>
          <w:tcPr>
            <w:tcW w:type="dxa" w:w="183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中-高</w:t>
            </w:r>
          </w:p>
        </w:tc>
        <w:tc>
          <w:tcPr>
            <w:tcW w:type="dxa" w:w="183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中</w:t>
            </w:r>
          </w:p>
        </w:tc>
      </w:tr>
      <w:tr>
        <w:tc>
          <w:tcPr>
            <w:tcW w:type="dxa" w:w="1700"/>
            <w:shd w:fill="EEF2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合规责任主体</w:t>
            </w:r>
          </w:p>
        </w:tc>
        <w:tc>
          <w:tcPr>
            <w:tcW w:type="dxa" w:w="1830"/>
            <w:shd w:fill="EEF2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申办方</w:t>
            </w:r>
          </w:p>
        </w:tc>
        <w:tc>
          <w:tcPr>
            <w:tcW w:type="dxa" w:w="1830"/>
            <w:shd w:fill="EEF2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申办方</w:t>
            </w:r>
          </w:p>
        </w:tc>
        <w:tc>
          <w:tcPr>
            <w:tcW w:type="dxa" w:w="1830"/>
            <w:shd w:fill="EEF2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仍是申办方</w:t>
            </w:r>
          </w:p>
        </w:tc>
        <w:tc>
          <w:tcPr>
            <w:tcW w:type="dxa" w:w="1830"/>
            <w:shd w:fill="EEF2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仍是申办方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最适合</w:t>
            </w:r>
          </w:p>
        </w:tc>
        <w:tc>
          <w:tcPr>
            <w:tcW w:type="dxa" w:w="183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第三方包评估主干</w:t>
            </w:r>
          </w:p>
        </w:tc>
        <w:tc>
          <w:tcPr>
            <w:tcW w:type="dxa" w:w="183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自研包验证主干</w:t>
            </w:r>
          </w:p>
        </w:tc>
        <w:tc>
          <w:tcPr>
            <w:tcW w:type="dxa" w:w="183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快速起步/兜底</w:t>
            </w:r>
          </w:p>
        </w:tc>
        <w:tc>
          <w:tcPr>
            <w:tcW w:type="dxa" w:w="183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专项外援/加速</w:t>
            </w:r>
          </w:p>
        </w:tc>
      </w:tr>
    </w:tbl>
    <w:p>
      <w:pPr>
        <w:spacing w:after="40" w:before="0" w:line="276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00" w:before="200"/>
      </w:pPr>
      <w:r>
        <w:rPr>
          <w:rFonts w:ascii="Noto Sans CJK SC" w:cs="Noto Sans CJK SC" w:eastAsia="Noto Sans CJK SC" w:hAnsi="Noto Sans CJK SC"/>
          <w:b/>
          <w:bCs/>
          <w:color w:val="2E5A88"/>
          <w:sz w:val="25"/>
          <w:szCs w:val="25"/>
        </w:rPr>
        <w:t xml:space="preserve">4.1  相同点</w:t>
      </w:r>
    </w:p>
    <w:p>
      <w:pPr>
        <w:pStyle w:val="ListParagraph"/>
        <w:numPr>
          <w:ilvl w:val="0"/>
          <w:numId w:val="2"/>
        </w:numPr>
        <w:spacing w:after="70" w:line="268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四者都认同「风险分级」而非「一刀切全验」，都追溯到 R Validation Hub 白皮书的四准则。</w:t>
      </w:r>
    </w:p>
    <w:p>
      <w:pPr>
        <w:pStyle w:val="ListParagraph"/>
        <w:numPr>
          <w:ilvl w:val="0"/>
          <w:numId w:val="2"/>
        </w:numPr>
        <w:spacing w:after="70" w:line="268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都强调可复现环境（PPM / renv / 冻结快照）是验证的前提。</w:t>
      </w:r>
    </w:p>
    <w:p>
      <w:pPr>
        <w:pStyle w:val="ListParagraph"/>
        <w:numPr>
          <w:ilvl w:val="0"/>
          <w:numId w:val="2"/>
        </w:numPr>
        <w:spacing w:after="70" w:line="268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都承认纯自动化打分不足以证明准确性，人工判断不可或缺。</w:t>
      </w:r>
    </w:p>
    <w:p>
      <w:pPr>
        <w:pStyle w:val="ListParagraph"/>
        <w:numPr>
          <w:ilvl w:val="0"/>
          <w:numId w:val="2"/>
        </w:numPr>
        <w:spacing w:after="70" w:line="268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合规责任主体始终是申办方，工具/供应商只提供证据。</w:t>
      </w:r>
    </w:p>
    <w:p>
      <w:pPr>
        <w:pStyle w:val="Heading2"/>
        <w:spacing w:after="100" w:before="200"/>
      </w:pPr>
      <w:r>
        <w:rPr>
          <w:rFonts w:ascii="Noto Sans CJK SC" w:cs="Noto Sans CJK SC" w:eastAsia="Noto Sans CJK SC" w:hAnsi="Noto Sans CJK SC"/>
          <w:b/>
          <w:bCs/>
          <w:color w:val="2E5A88"/>
          <w:sz w:val="25"/>
          <w:szCs w:val="25"/>
        </w:rPr>
        <w:t xml:space="preserve">4.2  不同点（一句话区分）</w:t>
      </w:r>
    </w:p>
    <w:p>
      <w:pPr>
        <w:pStyle w:val="ListParagraph"/>
        <w:numPr>
          <w:ilvl w:val="0"/>
          <w:numId w:val="2"/>
        </w:numPr>
        <w:spacing w:after="70" w:line="268"/>
        <w:jc w:val="both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000000"/>
          <w:sz w:val="21"/>
          <w:szCs w:val="21"/>
        </w:rPr>
        <w:t xml:space="preserve">R Validation Hub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回答「这个第三方包有多大风险」；</w:t>
      </w:r>
    </w:p>
    <w:p>
      <w:pPr>
        <w:pStyle w:val="ListParagraph"/>
        <w:numPr>
          <w:ilvl w:val="0"/>
          <w:numId w:val="2"/>
        </w:numPr>
        <w:spacing w:after="70" w:line="268"/>
        <w:jc w:val="both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000000"/>
          <w:sz w:val="21"/>
          <w:szCs w:val="21"/>
        </w:rPr>
        <w:t xml:space="preserve">valtools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回答「我自己的包如何走完验证并留档」；</w:t>
      </w:r>
    </w:p>
    <w:p>
      <w:pPr>
        <w:pStyle w:val="ListParagraph"/>
        <w:numPr>
          <w:ilvl w:val="0"/>
          <w:numId w:val="2"/>
        </w:numPr>
        <w:spacing w:after="70" w:line="268"/>
        <w:jc w:val="both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000000"/>
          <w:sz w:val="21"/>
          <w:szCs w:val="21"/>
        </w:rPr>
        <w:t xml:space="preserve">OpenVal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回答「能不能直接买到已验证的包，别自己折腾」；</w:t>
      </w:r>
    </w:p>
    <w:p>
      <w:pPr>
        <w:pStyle w:val="ListParagraph"/>
        <w:numPr>
          <w:ilvl w:val="0"/>
          <w:numId w:val="2"/>
        </w:numPr>
        <w:spacing w:after="70" w:line="268"/>
        <w:jc w:val="both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000000"/>
          <w:sz w:val="21"/>
          <w:szCs w:val="21"/>
        </w:rPr>
        <w:t xml:space="preserve">Jumping Rivers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回答「能不能请人帮我把这件事做好、并给我工具」。</w:t>
      </w:r>
    </w:p>
    <w:p>
      <w:pPr>
        <w:pBdr>
          <w:bottom w:val="single" w:color="C6D0DE" w:sz="6"/>
        </w:pBdr>
        <w:spacing w:after="1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1"/>
        <w:spacing w:after="130" w:before="260"/>
      </w:pPr>
      <w:r>
        <w:rPr>
          <w:rFonts w:ascii="Noto Sans CJK SC" w:cs="Noto Sans CJK SC" w:eastAsia="Noto Sans CJK SC" w:hAnsi="Noto Sans CJK SC"/>
          <w:b/>
          <w:bCs/>
          <w:color w:val="1F3864"/>
          <w:sz w:val="30"/>
          <w:szCs w:val="30"/>
        </w:rPr>
        <w:t xml:space="preserve">5  「自建 vs 复用」决策分析</w:t>
      </w:r>
    </w:p>
    <w:p>
      <w:pPr>
        <w:spacing w:after="120" w:before="0" w:line="276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这不是二选一，而是「哪些自建、哪些复用」的组合题。下表把决策拆到可操作粒度。</w:t>
      </w:r>
    </w:p>
    <w:tbl>
      <w:tblPr>
        <w:tblW w:type="dxa" w:w="9020"/>
        <w:tblBorders>
          <w:top w:val="single" w:color="AAB4C4" w:sz="3"/>
          <w:left w:val="single" w:color="AAB4C4" w:sz="3"/>
          <w:bottom w:val="single" w:color="AAB4C4" w:sz="3"/>
          <w:right w:val="single" w:color="AAB4C4" w:sz="3"/>
          <w:insideH w:val="single" w:color="AAB4C4" w:sz="3"/>
          <w:insideV w:val="single" w:color="AAB4C4" w:sz="3"/>
        </w:tblBorders>
      </w:tblPr>
      <w:tblGrid>
        <w:gridCol w:w="2600"/>
        <w:gridCol w:w="3200"/>
        <w:gridCol w:w="322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工作模块</w:t>
            </w:r>
          </w:p>
        </w:tc>
        <w:tc>
          <w:tcPr>
            <w:tcW w:type="dxa" w:w="32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建议做法</w:t>
            </w:r>
          </w:p>
        </w:tc>
        <w:tc>
          <w:tcPr>
            <w:tcW w:type="dxa" w:w="322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理由</w:t>
            </w:r>
          </w:p>
        </w:tc>
      </w:tr>
      <w:tr>
        <w:tc>
          <w:tcPr>
            <w:tcW w:type="dxa" w:w="2600"/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方法论/风险准则</w:t>
            </w:r>
          </w:p>
        </w:tc>
        <w:tc>
          <w:tcPr>
            <w:tcW w:type="dxa" w:w="3200"/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复用（R Validation Hub 白皮书）</w:t>
            </w:r>
          </w:p>
        </w:tc>
        <w:tc>
          <w:tcPr>
            <w:tcW w:type="dxa" w:w="3220"/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现成、社区共识、审计可引用，无需自创</w:t>
            </w:r>
          </w:p>
        </w:tc>
      </w:tr>
      <w:tr>
        <w:tc>
          <w:tcPr>
            <w:tcW w:type="dxa" w:w="2600"/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第三方包风险打分</w:t>
            </w:r>
          </w:p>
        </w:tc>
        <w:tc>
          <w:tcPr>
            <w:tcW w:type="dxa" w:w="3200"/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复用 riskmetric + riskassessment</w:t>
            </w:r>
          </w:p>
        </w:tc>
        <w:tc>
          <w:tcPr>
            <w:tcW w:type="dxa" w:w="3220"/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机械性工作已被工具解决，自研不划算</w:t>
            </w:r>
          </w:p>
        </w:tc>
      </w:tr>
      <w:tr>
        <w:tc>
          <w:tcPr>
            <w:tcW w:type="dxa" w:w="2600"/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组织阈值/权重/评审 SOP</w:t>
            </w:r>
          </w:p>
        </w:tc>
        <w:tc>
          <w:tcPr>
            <w:tcW w:type="dxa" w:w="3200"/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自建</w:t>
            </w:r>
          </w:p>
        </w:tc>
        <w:tc>
          <w:tcPr>
            <w:tcW w:type="dxa" w:w="3220"/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必须体现你的用途与风险偏好，无法外包</w:t>
            </w:r>
          </w:p>
        </w:tc>
      </w:tr>
      <w:tr>
        <w:tc>
          <w:tcPr>
            <w:tcW w:type="dxa" w:w="2600"/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自研包验证</w:t>
            </w:r>
          </w:p>
        </w:tc>
        <w:tc>
          <w:tcPr>
            <w:tcW w:type="dxa" w:w="3200"/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复用 valtools 框架 + 自建测试内容</w:t>
            </w:r>
          </w:p>
        </w:tc>
        <w:tc>
          <w:tcPr>
            <w:tcW w:type="dxa" w:w="3220"/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框架复用、需求与测试用例只能你写</w:t>
            </w:r>
          </w:p>
        </w:tc>
      </w:tr>
      <w:tr>
        <w:tc>
          <w:tcPr>
            <w:tcW w:type="dxa" w:w="2600"/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环境与可复现</w:t>
            </w:r>
          </w:p>
        </w:tc>
        <w:tc>
          <w:tcPr>
            <w:tcW w:type="dxa" w:w="3200"/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复用 PPM + renv</w:t>
            </w:r>
          </w:p>
        </w:tc>
        <w:tc>
          <w:tcPr>
            <w:tcW w:type="dxa" w:w="3220"/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行业标准做法，自建成本高且无收益</w:t>
            </w:r>
          </w:p>
        </w:tc>
      </w:tr>
      <w:tr>
        <w:tc>
          <w:tcPr>
            <w:tcW w:type="dxa" w:w="2600"/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持续/变更验证</w:t>
            </w:r>
          </w:p>
        </w:tc>
        <w:tc>
          <w:tcPr>
            <w:tcW w:type="dxa" w:w="3200"/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复用 diffify + oysteR + 自建触发规则</w:t>
            </w:r>
          </w:p>
        </w:tc>
        <w:tc>
          <w:tcPr>
            <w:tcW w:type="dxa" w:w="3220"/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工具成熟，规则需嵌入你的变更控制</w:t>
            </w:r>
          </w:p>
        </w:tc>
      </w:tr>
      <w:tr>
        <w:tc>
          <w:tcPr>
            <w:tcW w:type="dxa" w:w="2600"/>
            <w:shd w:fill="FCE4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高风险统计包准确性测试</w:t>
            </w:r>
          </w:p>
        </w:tc>
        <w:tc>
          <w:tcPr>
            <w:tcW w:type="dxa" w:w="3200"/>
            <w:shd w:fill="FCE4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自建为主，必要时向 OpenVal/JR 采购</w:t>
            </w:r>
          </w:p>
        </w:tc>
        <w:tc>
          <w:tcPr>
            <w:tcW w:type="dxa" w:w="3220"/>
            <w:shd w:fill="FCE4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预算有限先自做；成本过高的少数包再买</w:t>
            </w:r>
          </w:p>
        </w:tc>
      </w:tr>
    </w:tbl>
    <w:p>
      <w:pPr>
        <w:spacing w:after="40" w:before="0" w:line="276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00" w:before="200"/>
      </w:pPr>
      <w:r>
        <w:rPr>
          <w:rFonts w:ascii="Noto Sans CJK SC" w:cs="Noto Sans CJK SC" w:eastAsia="Noto Sans CJK SC" w:hAnsi="Noto Sans CJK SC"/>
          <w:b/>
          <w:bCs/>
          <w:color w:val="2E5A88"/>
          <w:sz w:val="25"/>
          <w:szCs w:val="25"/>
        </w:rPr>
        <w:t xml:space="preserve">5.1  针对你的推荐方案</w:t>
      </w:r>
    </w:p>
    <w:p>
      <w:pPr>
        <w:spacing w:after="120" w:before="0" w:line="276"/>
        <w:jc w:val="both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000000"/>
          <w:sz w:val="21"/>
          <w:szCs w:val="21"/>
        </w:rPr>
        <w:t xml:space="preserve">推荐：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开源自建为主干（valtools 管自研、riskmetric/riskassessment 管第三方、PPM/renv 管环境），商业方案作为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000000"/>
          <w:sz w:val="21"/>
          <w:szCs w:val="21"/>
        </w:rPr>
        <w:t xml:space="preserve">按需兜底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。这样把有限预算集中在「少数高风险统计包的深度验证」上，其余用免费工具+自有人力覆盖，既满足申报级要求，又控制长期成本、避免锁定。</w:t>
      </w:r>
    </w:p>
    <w:p>
      <w:pPr>
        <w:spacing w:after="120" w:before="0" w:line="276"/>
        <w:jc w:val="both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000000"/>
          <w:sz w:val="21"/>
          <w:szCs w:val="21"/>
        </w:rPr>
        <w:t xml:space="preserve">何时应触发采购/外援：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当某个高风险统计计算包（如复杂建模/生存分析/PK 包）自行做准确性金标准比对的成本，明显高于购买单包验证或专项咨询时；或临近关键申报里程碑、时间不允许自建时。</w:t>
      </w:r>
    </w:p>
    <w:p>
      <w:pPr>
        <w:pBdr>
          <w:bottom w:val="single" w:color="C6D0DE" w:sz="6"/>
        </w:pBdr>
        <w:spacing w:after="1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1"/>
        <w:spacing w:after="130" w:before="260"/>
      </w:pPr>
      <w:r>
        <w:rPr>
          <w:rFonts w:ascii="Noto Sans CJK SC" w:cs="Noto Sans CJK SC" w:eastAsia="Noto Sans CJK SC" w:hAnsi="Noto Sans CJK SC"/>
          <w:b/>
          <w:bCs/>
          <w:color w:val="1F3864"/>
          <w:sz w:val="30"/>
          <w:szCs w:val="30"/>
        </w:rPr>
        <w:t xml:space="preserve">6  实施方案（分阶段路线图）</w:t>
      </w:r>
    </w:p>
    <w:p>
      <w:pPr>
        <w:pStyle w:val="Heading2"/>
        <w:spacing w:after="100" w:before="200"/>
      </w:pPr>
      <w:r>
        <w:rPr>
          <w:rFonts w:ascii="Noto Sans CJK SC" w:cs="Noto Sans CJK SC" w:eastAsia="Noto Sans CJK SC" w:hAnsi="Noto Sans CJK SC"/>
          <w:b/>
          <w:bCs/>
          <w:color w:val="2E5A88"/>
          <w:sz w:val="25"/>
          <w:szCs w:val="25"/>
        </w:rPr>
        <w:t xml:space="preserve">阶段 0（第 1–3 周）：治理与 SOP 奠基</w:t>
      </w:r>
    </w:p>
    <w:p>
      <w:pPr>
        <w:pStyle w:val="ListParagraph"/>
        <w:numPr>
          <w:ilvl w:val="0"/>
          <w:numId w:val="3"/>
        </w:numPr>
        <w:spacing w:after="70" w:line="268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制定《R 包验证策略 SOP》：明确适用范围、包三分类、风险分级规则、riskmetric 指标权重与风险阈值、纳入/排除 GxP 环境的判定规则。</w:t>
      </w:r>
    </w:p>
    <w:p>
      <w:pPr>
        <w:pStyle w:val="ListParagraph"/>
        <w:numPr>
          <w:ilvl w:val="0"/>
          <w:numId w:val="3"/>
        </w:numPr>
        <w:spacing w:after="70" w:line="268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定义风险分级与测试深度对应表（低/中/高 → 轻量/中等/深度测试）。</w:t>
      </w:r>
    </w:p>
    <w:p>
      <w:pPr>
        <w:pStyle w:val="ListParagraph"/>
        <w:numPr>
          <w:ilvl w:val="0"/>
          <w:numId w:val="3"/>
        </w:numPr>
        <w:spacing w:after="70" w:line="268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建立角色与 RACI：验证负责人、开发者、独立评审、QA/合规审批、IT/环境管理。</w:t>
      </w:r>
    </w:p>
    <w:p>
      <w:pPr>
        <w:pStyle w:val="ListParagraph"/>
        <w:numPr>
          <w:ilvl w:val="0"/>
          <w:numId w:val="3"/>
        </w:numPr>
        <w:spacing w:after="70" w:line="268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确定交付物模板（对齐 GAMP 5）：URS/FS、风险评估、测试用例/结果、追溯矩阵、验证报告、变更日志。</w:t>
      </w:r>
    </w:p>
    <w:p>
      <w:pPr>
        <w:spacing w:after="120" w:before="0" w:line="276"/>
        <w:jc w:val="both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000000"/>
          <w:sz w:val="21"/>
          <w:szCs w:val="21"/>
        </w:rPr>
        <w:t xml:space="preserve">交付物：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SOP v1、风险分级规则表、RACI、文档模板库。</w:t>
      </w:r>
    </w:p>
    <w:p>
      <w:pPr>
        <w:pStyle w:val="Heading2"/>
        <w:spacing w:after="100" w:before="200"/>
      </w:pPr>
      <w:r>
        <w:rPr>
          <w:rFonts w:ascii="Noto Sans CJK SC" w:cs="Noto Sans CJK SC" w:eastAsia="Noto Sans CJK SC" w:hAnsi="Noto Sans CJK SC"/>
          <w:b/>
          <w:bCs/>
          <w:color w:val="2E5A88"/>
          <w:sz w:val="25"/>
          <w:szCs w:val="25"/>
        </w:rPr>
        <w:t xml:space="preserve">阶段 1（第 3–6 周）：环境与可复现基建</w:t>
      </w:r>
    </w:p>
    <w:p>
      <w:pPr>
        <w:pStyle w:val="ListParagraph"/>
        <w:numPr>
          <w:ilvl w:val="0"/>
          <w:numId w:val="4"/>
        </w:numPr>
        <w:spacing w:after="70" w:line="268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部署/配置 Posit Package Manager，建立冻结的 CRAN/Bioconductor 快照与内部「Validated」仓库。</w:t>
      </w:r>
    </w:p>
    <w:p>
      <w:pPr>
        <w:pStyle w:val="ListParagraph"/>
        <w:numPr>
          <w:ilvl w:val="0"/>
          <w:numId w:val="4"/>
        </w:numPr>
        <w:spacing w:after="70" w:line="268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在项目中引入 renv，锁定 R 版本与包版本；建立环境快照的版本化与留存机制。</w:t>
      </w:r>
    </w:p>
    <w:p>
      <w:pPr>
        <w:pStyle w:val="ListParagraph"/>
        <w:numPr>
          <w:ilvl w:val="0"/>
          <w:numId w:val="4"/>
        </w:numPr>
        <w:spacing w:after="70" w:line="268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开启 PPM 的漏洞扫描（osv.dev），与 oysteR 形成安全基线。</w:t>
      </w:r>
    </w:p>
    <w:p>
      <w:pPr>
        <w:spacing w:after="120" w:before="0" w:line="276"/>
        <w:jc w:val="both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000000"/>
          <w:sz w:val="21"/>
          <w:szCs w:val="21"/>
        </w:rPr>
        <w:t xml:space="preserve">交付物：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受控仓库、环境基线文档、可复现性验证记录。</w:t>
      </w:r>
    </w:p>
    <w:p>
      <w:pPr>
        <w:pStyle w:val="Heading2"/>
        <w:spacing w:after="100" w:before="200"/>
      </w:pPr>
      <w:r>
        <w:rPr>
          <w:rFonts w:ascii="Noto Sans CJK SC" w:cs="Noto Sans CJK SC" w:eastAsia="Noto Sans CJK SC" w:hAnsi="Noto Sans CJK SC"/>
          <w:b/>
          <w:bCs/>
          <w:color w:val="2E5A88"/>
          <w:sz w:val="25"/>
          <w:szCs w:val="25"/>
        </w:rPr>
        <w:t xml:space="preserve">阶段 2（第 5–9 周）：第三方包风险评估流水线</w:t>
      </w:r>
    </w:p>
    <w:p>
      <w:pPr>
        <w:pStyle w:val="ListParagraph"/>
        <w:numPr>
          <w:ilvl w:val="0"/>
          <w:numId w:val="5"/>
        </w:numPr>
        <w:spacing w:after="70" w:line="268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圈定「intended-for-use」直接调用包清单（不逐一验证间接依赖）。</w:t>
      </w:r>
    </w:p>
    <w:p>
      <w:pPr>
        <w:pStyle w:val="ListParagraph"/>
        <w:numPr>
          <w:ilvl w:val="0"/>
          <w:numId w:val="5"/>
        </w:numPr>
        <w:spacing w:after="70" w:line="268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用 riskmetric 批量打分：pkg_ref() → pkg_assess() → pkg_score()，按 SOP 权重聚合。</w:t>
      </w:r>
    </w:p>
    <w:p>
      <w:pPr>
        <w:pStyle w:val="ListParagraph"/>
        <w:numPr>
          <w:ilvl w:val="0"/>
          <w:numId w:val="5"/>
        </w:numPr>
        <w:spacing w:after="70" w:line="268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在 riskassessment 应用中做人工评级、留痕评论、按阈值给出「纳入/需补测/排除」决策。</w:t>
      </w:r>
    </w:p>
    <w:p>
      <w:pPr>
        <w:pStyle w:val="ListParagraph"/>
        <w:numPr>
          <w:ilvl w:val="0"/>
          <w:numId w:val="5"/>
        </w:numPr>
        <w:spacing w:after="70" w:line="268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对中高风险包，针对用途补写 testthat 测试；导出并归档风险评估报告。</w:t>
      </w:r>
    </w:p>
    <w:p>
      <w:pPr>
        <w:spacing w:after="120" w:before="0" w:line="276"/>
        <w:jc w:val="both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000000"/>
          <w:sz w:val="21"/>
          <w:szCs w:val="21"/>
        </w:rPr>
        <w:t xml:space="preserve">交付物：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直接调用包清单、风险评分与评级报告、补充测试、纳入决策记录。</w:t>
      </w:r>
    </w:p>
    <w:p>
      <w:pPr>
        <w:pStyle w:val="Heading2"/>
        <w:spacing w:after="100" w:before="200"/>
      </w:pPr>
      <w:r>
        <w:rPr>
          <w:rFonts w:ascii="Noto Sans CJK SC" w:cs="Noto Sans CJK SC" w:eastAsia="Noto Sans CJK SC" w:hAnsi="Noto Sans CJK SC"/>
          <w:b/>
          <w:bCs/>
          <w:color w:val="2E5A88"/>
          <w:sz w:val="25"/>
          <w:szCs w:val="25"/>
        </w:rPr>
        <w:t xml:space="preserve">阶段 3（第 8–14 周）：自研包 RPVF 验证</w:t>
      </w:r>
    </w:p>
    <w:p>
      <w:pPr>
        <w:pStyle w:val="ListParagraph"/>
        <w:numPr>
          <w:ilvl w:val="0"/>
          <w:numId w:val="6"/>
        </w:numPr>
        <w:spacing w:after="70" w:line="268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对每个自研包用 valtools 加验证基建：vt_use_validation()。</w:t>
      </w:r>
    </w:p>
    <w:p>
      <w:pPr>
        <w:pStyle w:val="ListParagraph"/>
        <w:numPr>
          <w:ilvl w:val="0"/>
          <w:numId w:val="6"/>
        </w:numPr>
        <w:spacing w:after="70" w:line="268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先写需求（vt_use_req，代码之前），再写测试用例与测试代码（vt_use_test_case / vt_use_test_code）。</w:t>
      </w:r>
    </w:p>
    <w:p>
      <w:pPr>
        <w:pStyle w:val="ListParagraph"/>
        <w:numPr>
          <w:ilvl w:val="0"/>
          <w:numId w:val="6"/>
        </w:numPr>
        <w:spacing w:after="70" w:line="268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用 vt_use_report 生成验证报告，编译自动产出需求—测试—追溯矩阵。</w:t>
      </w:r>
    </w:p>
    <w:p>
      <w:pPr>
        <w:pStyle w:val="ListParagraph"/>
        <w:numPr>
          <w:ilvl w:val="0"/>
          <w:numId w:val="6"/>
        </w:numPr>
        <w:spacing w:after="70" w:line="268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按 SOP 选定验证时点（建议 on Build 或 on Install，保证验证证据随包不可变分发）。</w:t>
      </w:r>
    </w:p>
    <w:p>
      <w:pPr>
        <w:pStyle w:val="ListParagraph"/>
        <w:numPr>
          <w:ilvl w:val="0"/>
          <w:numId w:val="6"/>
        </w:numPr>
        <w:spacing w:after="70" w:line="268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接入 CI/CD（如 GitHub Actions）：提交即跑 R CMD check + testthat + 覆盖率，报告归档。</w:t>
      </w:r>
    </w:p>
    <w:p>
      <w:pPr>
        <w:spacing w:after="120" w:before="0" w:line="276"/>
        <w:jc w:val="both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000000"/>
          <w:sz w:val="21"/>
          <w:szCs w:val="21"/>
        </w:rPr>
        <w:t xml:space="preserve">交付物：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每个自研包的验证报告包（需求/测试/追溯/变更日志）+ CI 流水线。</w:t>
      </w:r>
    </w:p>
    <w:p>
      <w:pPr>
        <w:pStyle w:val="Heading2"/>
        <w:spacing w:after="100" w:before="200"/>
      </w:pPr>
      <w:r>
        <w:rPr>
          <w:rFonts w:ascii="Noto Sans CJK SC" w:cs="Noto Sans CJK SC" w:eastAsia="Noto Sans CJK SC" w:hAnsi="Noto Sans CJK SC"/>
          <w:b/>
          <w:bCs/>
          <w:color w:val="2E5A88"/>
          <w:sz w:val="25"/>
          <w:szCs w:val="25"/>
        </w:rPr>
        <w:t xml:space="preserve">阶段 4（持续）：持续验证与变更控制</w:t>
      </w:r>
    </w:p>
    <w:p>
      <w:pPr>
        <w:pStyle w:val="ListParagraph"/>
        <w:numPr>
          <w:ilvl w:val="0"/>
          <w:numId w:val="7"/>
        </w:numPr>
        <w:spacing w:after="70" w:line="268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版本变更监控：用 diffify 比对包新旧版本差异，评估是否触发再验证。</w:t>
      </w:r>
    </w:p>
    <w:p>
      <w:pPr>
        <w:pStyle w:val="ListParagraph"/>
        <w:numPr>
          <w:ilvl w:val="0"/>
          <w:numId w:val="7"/>
        </w:numPr>
        <w:spacing w:after="70" w:line="268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安全监控：定期 oysteR / PPM 漏洞扫描，命中即走变更评估。</w:t>
      </w:r>
    </w:p>
    <w:p>
      <w:pPr>
        <w:pStyle w:val="ListParagraph"/>
        <w:numPr>
          <w:ilvl w:val="0"/>
          <w:numId w:val="7"/>
        </w:numPr>
        <w:spacing w:after="70" w:line="268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定期再评估：按周期或「升级/环境变更/依赖变更」事件重跑 riskmetric 与自研包验证报告。</w:t>
      </w:r>
    </w:p>
    <w:p>
      <w:pPr>
        <w:pStyle w:val="ListParagraph"/>
        <w:numPr>
          <w:ilvl w:val="0"/>
          <w:numId w:val="7"/>
        </w:numPr>
        <w:spacing w:after="70" w:line="268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所有变更纳入变更控制流程并留签署记录（国内申报需中文归档）。</w:t>
      </w:r>
    </w:p>
    <w:p>
      <w:pPr>
        <w:spacing w:after="120" w:before="0" w:line="276"/>
        <w:jc w:val="both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000000"/>
          <w:sz w:val="21"/>
          <w:szCs w:val="21"/>
        </w:rPr>
        <w:t xml:space="preserve">交付物：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持续验证台账、变更控制记录、周期性再评估报告。</w:t>
      </w:r>
    </w:p>
    <w:p>
      <w:pPr>
        <w:pStyle w:val="Heading2"/>
        <w:spacing w:after="100" w:before="200"/>
      </w:pPr>
      <w:r>
        <w:rPr>
          <w:rFonts w:ascii="Noto Sans CJK SC" w:cs="Noto Sans CJK SC" w:eastAsia="Noto Sans CJK SC" w:hAnsi="Noto Sans CJK SC"/>
          <w:b/>
          <w:bCs/>
          <w:color w:val="2E5A88"/>
          <w:sz w:val="25"/>
          <w:szCs w:val="25"/>
        </w:rPr>
        <w:t xml:space="preserve">6.1  推荐工具栈汇总</w:t>
      </w:r>
    </w:p>
    <w:tbl>
      <w:tblPr>
        <w:tblW w:type="dxa" w:w="9020"/>
        <w:tblBorders>
          <w:top w:val="single" w:color="AAB4C4" w:sz="3"/>
          <w:left w:val="single" w:color="AAB4C4" w:sz="3"/>
          <w:bottom w:val="single" w:color="AAB4C4" w:sz="3"/>
          <w:right w:val="single" w:color="AAB4C4" w:sz="3"/>
          <w:insideH w:val="single" w:color="AAB4C4" w:sz="3"/>
          <w:insideV w:val="single" w:color="AAB4C4" w:sz="3"/>
        </w:tblBorders>
      </w:tblPr>
      <w:tblGrid>
        <w:gridCol w:w="2600"/>
        <w:gridCol w:w="642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环节</w:t>
            </w:r>
          </w:p>
        </w:tc>
        <w:tc>
          <w:tcPr>
            <w:tcW w:type="dxa" w:w="642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工具</w:t>
            </w:r>
          </w:p>
        </w:tc>
      </w:tr>
      <w:tr>
        <w:tc>
          <w:tcPr>
            <w:tcW w:type="dxa" w:w="2600"/>
            <w:shd w:fill="EEF2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方法论</w:t>
            </w:r>
          </w:p>
        </w:tc>
        <w:tc>
          <w:tcPr>
            <w:tcW w:type="dxa" w:w="6420"/>
            <w:shd w:fill="EEF2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 Validation Hub 白皮书四准则 + GAMP 5 交付物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第三方包评估</w:t>
            </w:r>
          </w:p>
        </w:tc>
        <w:tc>
          <w:tcPr>
            <w:tcW w:type="dxa" w:w="642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riskmetric（打分）+ riskassessment（评审/阈值/报告）</w:t>
            </w:r>
          </w:p>
        </w:tc>
      </w:tr>
      <w:tr>
        <w:tc>
          <w:tcPr>
            <w:tcW w:type="dxa" w:w="2600"/>
            <w:shd w:fill="EEF2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自研包验证</w:t>
            </w:r>
          </w:p>
        </w:tc>
        <w:tc>
          <w:tcPr>
            <w:tcW w:type="dxa" w:w="6420"/>
            <w:shd w:fill="EEF2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valtools（RPVF 脚手架，需求/测试/追溯/报告）+ testthat + covr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环境可复现</w:t>
            </w:r>
          </w:p>
        </w:tc>
        <w:tc>
          <w:tcPr>
            <w:tcW w:type="dxa" w:w="642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Posit Package Manager（冻结快照/Validated 仓库）+ renv</w:t>
            </w:r>
          </w:p>
        </w:tc>
      </w:tr>
      <w:tr>
        <w:tc>
          <w:tcPr>
            <w:tcW w:type="dxa" w:w="2600"/>
            <w:shd w:fill="EEF2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持续/安全</w:t>
            </w:r>
          </w:p>
        </w:tc>
        <w:tc>
          <w:tcPr>
            <w:tcW w:type="dxa" w:w="6420"/>
            <w:shd w:fill="EEF2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diffify（版本差异）+ oysteR（CVE 扫描）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自动化</w:t>
            </w:r>
          </w:p>
        </w:tc>
        <w:tc>
          <w:tcPr>
            <w:tcW w:type="dxa" w:w="642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GitHub Actions / GitLab CI（R CMD check + 测试 + 覆盖率）</w:t>
            </w:r>
          </w:p>
        </w:tc>
      </w:tr>
      <w:tr>
        <w:tc>
          <w:tcPr>
            <w:tcW w:type="dxa" w:w="2600"/>
            <w:shd w:fill="EEF2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按需外援</w:t>
            </w:r>
          </w:p>
        </w:tc>
        <w:tc>
          <w:tcPr>
            <w:tcW w:type="dxa" w:w="6420"/>
            <w:shd w:fill="EEF2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OpenVal（高风险包单包验证兜底）/ Jumping Rivers（专项咨询）</w:t>
            </w:r>
          </w:p>
        </w:tc>
      </w:tr>
    </w:tbl>
    <w:p>
      <w:pPr>
        <w:pBdr>
          <w:bottom w:val="single" w:color="C6D0DE" w:sz="6"/>
        </w:pBdr>
        <w:spacing w:after="1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1"/>
        <w:spacing w:after="130" w:before="260"/>
      </w:pPr>
      <w:r>
        <w:rPr>
          <w:rFonts w:ascii="Noto Sans CJK SC" w:cs="Noto Sans CJK SC" w:eastAsia="Noto Sans CJK SC" w:hAnsi="Noto Sans CJK SC"/>
          <w:b/>
          <w:bCs/>
          <w:color w:val="1F3864"/>
          <w:sz w:val="30"/>
          <w:szCs w:val="30"/>
        </w:rPr>
        <w:t xml:space="preserve">7  实施风险与缓解</w:t>
      </w:r>
    </w:p>
    <w:tbl>
      <w:tblPr>
        <w:tblW w:type="dxa" w:w="9020"/>
        <w:tblBorders>
          <w:top w:val="single" w:color="AAB4C4" w:sz="3"/>
          <w:left w:val="single" w:color="AAB4C4" w:sz="3"/>
          <w:bottom w:val="single" w:color="AAB4C4" w:sz="3"/>
          <w:right w:val="single" w:color="AAB4C4" w:sz="3"/>
          <w:insideH w:val="single" w:color="AAB4C4" w:sz="3"/>
          <w:insideV w:val="single" w:color="AAB4C4" w:sz="3"/>
        </w:tblBorders>
      </w:tblPr>
      <w:tblGrid>
        <w:gridCol w:w="3000"/>
        <w:gridCol w:w="3010"/>
        <w:gridCol w:w="301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风险</w:t>
            </w:r>
          </w:p>
        </w:tc>
        <w:tc>
          <w:tcPr>
            <w:tcW w:type="dxa" w:w="301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影响</w:t>
            </w:r>
          </w:p>
        </w:tc>
        <w:tc>
          <w:tcPr>
            <w:tcW w:type="dxa" w:w="301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缓解</w:t>
            </w:r>
          </w:p>
        </w:tc>
      </w:tr>
      <w:tr>
        <w:tc>
          <w:tcPr>
            <w:tcW w:type="dxa" w:w="3000"/>
            <w:shd w:fill="EEF2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riskmetric 转维护、val.meter 演进中</w:t>
            </w:r>
          </w:p>
        </w:tc>
        <w:tc>
          <w:tcPr>
            <w:tcW w:type="dxa" w:w="3010"/>
            <w:shd w:fill="EEF2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工具迁移、指标口径变动</w:t>
            </w:r>
          </w:p>
        </w:tc>
        <w:tc>
          <w:tcPr>
            <w:tcW w:type="dxa" w:w="3010"/>
            <w:shd w:fill="EEF2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锁定当前版本；跟踪 val.meter；SOP 与具体工具解耦，只绑定「四准则」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阈值/权重设定主观</w:t>
            </w:r>
          </w:p>
        </w:tc>
        <w:tc>
          <w:tcPr>
            <w:tcW w:type="dxa" w:w="301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审计质疑一致性</w:t>
            </w:r>
          </w:p>
        </w:tc>
        <w:tc>
          <w:tcPr>
            <w:tcW w:type="dxa" w:w="301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阈值来源写入 SOP，保留论证依据；跨团队评审达成共识</w:t>
            </w:r>
          </w:p>
        </w:tc>
      </w:tr>
      <w:tr>
        <w:tc>
          <w:tcPr>
            <w:tcW w:type="dxa" w:w="3000"/>
            <w:shd w:fill="EEF2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自研包验证报告编译耗时</w:t>
            </w:r>
          </w:p>
        </w:tc>
        <w:tc>
          <w:tcPr>
            <w:tcW w:type="dxa" w:w="3010"/>
            <w:shd w:fill="EEF2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里程碑延误</w:t>
            </w:r>
          </w:p>
        </w:tc>
        <w:tc>
          <w:tcPr>
            <w:tcW w:type="dxa" w:w="3010"/>
            <w:shd w:fill="EEF2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测试分层、并行化、CI 缓存；关键包优先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把工具选型当合规策略</w:t>
            </w:r>
          </w:p>
        </w:tc>
        <w:tc>
          <w:tcPr>
            <w:tcW w:type="dxa" w:w="301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证据链断裂</w:t>
            </w:r>
          </w:p>
        </w:tc>
        <w:tc>
          <w:tcPr>
            <w:tcW w:type="dxa" w:w="301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始终以「用途→风险→测试深度→留档」为主线，工具仅产证据</w:t>
            </w:r>
          </w:p>
        </w:tc>
      </w:tr>
      <w:tr>
        <w:tc>
          <w:tcPr>
            <w:tcW w:type="dxa" w:w="3000"/>
            <w:shd w:fill="EEF2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国内/国际申报要求差异</w:t>
            </w:r>
          </w:p>
        </w:tc>
        <w:tc>
          <w:tcPr>
            <w:tcW w:type="dxa" w:w="3010"/>
            <w:shd w:fill="EEF2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重复劳动</w:t>
            </w:r>
          </w:p>
        </w:tc>
        <w:tc>
          <w:tcPr>
            <w:tcW w:type="dxa" w:w="3010"/>
            <w:shd w:fill="EEF2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同一证据链设计为可复用；中文 SOP 与签署记录并行维护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过度验证或验证不足</w:t>
            </w:r>
          </w:p>
        </w:tc>
        <w:tc>
          <w:tcPr>
            <w:tcW w:type="dxa" w:w="301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成本失控 / 合规缺口</w:t>
            </w:r>
          </w:p>
        </w:tc>
        <w:tc>
          <w:tcPr>
            <w:tcW w:type="dxa" w:w="301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line="24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严格执行 intended-for-use 聚焦与风险分级</w:t>
            </w:r>
          </w:p>
        </w:tc>
      </w:tr>
    </w:tbl>
    <w:p>
      <w:pPr>
        <w:pBdr>
          <w:bottom w:val="single" w:color="C6D0DE" w:sz="6"/>
        </w:pBdr>
        <w:spacing w:after="1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1"/>
        <w:spacing w:after="130" w:before="260"/>
      </w:pPr>
      <w:r>
        <w:rPr>
          <w:rFonts w:ascii="Noto Sans CJK SC" w:cs="Noto Sans CJK SC" w:eastAsia="Noto Sans CJK SC" w:hAnsi="Noto Sans CJK SC"/>
          <w:b/>
          <w:bCs/>
          <w:color w:val="1F3864"/>
          <w:sz w:val="30"/>
          <w:szCs w:val="30"/>
        </w:rPr>
        <w:t xml:space="preserve">8  结论与下一步</w:t>
      </w:r>
    </w:p>
    <w:p>
      <w:pPr>
        <w:spacing w:after="120" w:before="0" w:line="276"/>
        <w:jc w:val="both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000000"/>
          <w:sz w:val="21"/>
          <w:szCs w:val="21"/>
        </w:rPr>
        <w:t xml:space="preserve">结论：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借鉴他们的思路「自建为主 + 复用其工具 + 按需采购兜底」，是你当前约束下性价比最高、合规最稳、锁定最小的路径。不要纯自研（重复造轮子），也不要纯采购（成本与锁定，且覆盖不了自研包）。</w:t>
      </w:r>
    </w:p>
    <w:p>
      <w:pPr>
        <w:spacing w:after="120" w:before="0" w:line="276"/>
        <w:jc w:val="both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000000"/>
          <w:sz w:val="21"/>
          <w:szCs w:val="21"/>
        </w:rPr>
        <w:t xml:space="preserve">最小可行起步（建议未来 2 周先做）：</w:t>
      </w:r>
    </w:p>
    <w:p>
      <w:pPr>
        <w:pStyle w:val="ListParagraph"/>
        <w:numPr>
          <w:ilvl w:val="0"/>
          <w:numId w:val="8"/>
        </w:numPr>
        <w:spacing w:after="70" w:line="268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起草《R 包验证策略 SOP》骨架 + 风险分级规则表。</w:t>
      </w:r>
    </w:p>
    <w:p>
      <w:pPr>
        <w:pStyle w:val="ListParagraph"/>
        <w:numPr>
          <w:ilvl w:val="0"/>
          <w:numId w:val="8"/>
        </w:numPr>
        <w:spacing w:after="70" w:line="268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选 1 个真实自研包跑通 valtools 全流程，产出一份样例验证报告。</w:t>
      </w:r>
    </w:p>
    <w:p>
      <w:pPr>
        <w:pStyle w:val="ListParagraph"/>
        <w:numPr>
          <w:ilvl w:val="0"/>
          <w:numId w:val="8"/>
        </w:numPr>
        <w:spacing w:after="70" w:line="268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选 5–10 个高频第三方包跑通 riskmetric + riskassessment，校准你的阈值。</w:t>
      </w:r>
    </w:p>
    <w:p>
      <w:pPr>
        <w:pStyle w:val="ListParagraph"/>
        <w:numPr>
          <w:ilvl w:val="0"/>
          <w:numId w:val="8"/>
        </w:numPr>
        <w:spacing w:after="70" w:line="268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用一个真实包验证 PPM + renv 的环境冻结与还原。</w:t>
      </w:r>
    </w:p>
    <w:p>
      <w:pPr>
        <w:spacing w:after="120" w:before="0" w:line="276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跑通这套「小闭环」后，再横向铺开到全部包，并把高风险少数包的采购/外援决策留到那时按实际成本判断。</w:t>
      </w:r>
    </w:p>
    <w:p>
      <w:pPr>
        <w:pStyle w:val="Heading1"/>
        <w:spacing w:after="130" w:before="260"/>
      </w:pPr>
      <w:r>
        <w:rPr>
          <w:rFonts w:ascii="Noto Sans CJK SC" w:cs="Noto Sans CJK SC" w:eastAsia="Noto Sans CJK SC" w:hAnsi="Noto Sans CJK SC"/>
          <w:b/>
          <w:bCs/>
          <w:color w:val="1F3864"/>
          <w:sz w:val="30"/>
          <w:szCs w:val="30"/>
        </w:rPr>
        <w:t xml:space="preserve">附录：参考资料</w:t>
      </w:r>
    </w:p>
    <w:p>
      <w:pPr>
        <w:pStyle w:val="ListParagraph"/>
        <w:numPr>
          <w:ilvl w:val="0"/>
          <w:numId w:val="2"/>
        </w:numPr>
        <w:spacing w:after="70" w:line="268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595959"/>
          <w:sz w:val="18"/>
          <w:szCs w:val="18"/>
        </w:rPr>
        <w:t xml:space="preserve">R Validation Hub 白皮书：https://pharmar.org/white-paper/</w:t>
      </w:r>
    </w:p>
    <w:p>
      <w:pPr>
        <w:pStyle w:val="ListParagraph"/>
        <w:numPr>
          <w:ilvl w:val="0"/>
          <w:numId w:val="2"/>
        </w:numPr>
        <w:spacing w:after="70" w:line="268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595959"/>
          <w:sz w:val="18"/>
          <w:szCs w:val="18"/>
        </w:rPr>
        <w:t xml:space="preserve">riskmetric（GitHub / 文档）：https://github.com/pharmaR/riskmetric · https://pharmar.github.io/riskmetric/</w:t>
      </w:r>
    </w:p>
    <w:p>
      <w:pPr>
        <w:pStyle w:val="ListParagraph"/>
        <w:numPr>
          <w:ilvl w:val="0"/>
          <w:numId w:val="2"/>
        </w:numPr>
        <w:spacing w:after="70" w:line="268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595959"/>
          <w:sz w:val="18"/>
          <w:szCs w:val="18"/>
        </w:rPr>
        <w:t xml:space="preserve">riskassessment 应用：https://github.com/pharmaR/riskassessment</w:t>
      </w:r>
    </w:p>
    <w:p>
      <w:pPr>
        <w:pStyle w:val="ListParagraph"/>
        <w:numPr>
          <w:ilvl w:val="0"/>
          <w:numId w:val="2"/>
        </w:numPr>
        <w:spacing w:after="70" w:line="268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595959"/>
          <w:sz w:val="18"/>
          <w:szCs w:val="18"/>
        </w:rPr>
        <w:t xml:space="preserve">PHUSE valtools：https://github.com/phuse-org/valtools · https://phuse-org.github.io/valtools/</w:t>
      </w:r>
    </w:p>
    <w:p>
      <w:pPr>
        <w:pStyle w:val="ListParagraph"/>
        <w:numPr>
          <w:ilvl w:val="0"/>
          <w:numId w:val="2"/>
        </w:numPr>
        <w:spacing w:after="70" w:line="268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595959"/>
          <w:sz w:val="18"/>
          <w:szCs w:val="18"/>
        </w:rPr>
        <w:t xml:space="preserve">FredHutch R Package Validation 教程：https://github.com/FredHutch/R_Package_Validation_Tutorial</w:t>
      </w:r>
    </w:p>
    <w:p>
      <w:pPr>
        <w:pStyle w:val="ListParagraph"/>
        <w:numPr>
          <w:ilvl w:val="0"/>
          <w:numId w:val="2"/>
        </w:numPr>
        <w:spacing w:after="70" w:line="268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595959"/>
          <w:sz w:val="18"/>
          <w:szCs w:val="18"/>
        </w:rPr>
        <w:t xml:space="preserve">Atorus OpenVal：https://www.atorusresearch.com/why-openval-curated-r-package-validation-for-clinical-programming-leads-the-industry/</w:t>
      </w:r>
    </w:p>
    <w:p>
      <w:pPr>
        <w:pStyle w:val="ListParagraph"/>
        <w:numPr>
          <w:ilvl w:val="0"/>
          <w:numId w:val="2"/>
        </w:numPr>
        <w:spacing w:after="70" w:line="268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595959"/>
          <w:sz w:val="18"/>
          <w:szCs w:val="18"/>
        </w:rPr>
        <w:t xml:space="preserve">Jumping Rivers（Litmusverse / Shiny 验证）：https://www.jumpingrivers.com/blog/validating-shiny-apps-in-regulated-environments/</w:t>
      </w:r>
    </w:p>
    <w:p>
      <w:pPr>
        <w:pStyle w:val="ListParagraph"/>
        <w:numPr>
          <w:ilvl w:val="0"/>
          <w:numId w:val="2"/>
        </w:numPr>
        <w:spacing w:after="70" w:line="268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595959"/>
          <w:sz w:val="18"/>
          <w:szCs w:val="18"/>
        </w:rPr>
        <w:t xml:space="preserve">ISPE GAMP 5（第二版，2022）· R Foundation 2018 合规指导文件</w:t>
      </w:r>
    </w:p>
    <w:p>
      <w:pPr>
        <w:spacing w:after="120" w:before="120" w:line="276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i/>
          <w:iCs/>
          <w:color w:val="595959"/>
          <w:sz w:val="18"/>
          <w:szCs w:val="18"/>
        </w:rPr>
        <w:t xml:space="preserve">说明：本报告基于公开资料整理，工具状态可能持续更新；关键决策前请以各项目官方最新文档为准。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 包验证策略对比分析与实施方案</dc:title>
  <dc:creator>Claude</dc:creator>
  <cp:lastModifiedBy>Un-named</cp:lastModifiedBy>
  <cp:revision>1</cp:revision>
  <dcterms:created xsi:type="dcterms:W3CDTF">2026-07-07T00:45:17.443Z</dcterms:created>
  <dcterms:modified xsi:type="dcterms:W3CDTF">2026-07-07T00:45:17.443Z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