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b/>
          <w:bCs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任务一</w:t>
      </w:r>
      <w:r>
        <w:rPr>
          <w:rFonts w:hint="eastAsia" w:ascii="Times New Roman Regular" w:hAnsi="Times New Roman Regular" w:eastAsia="宋体" w:cs="Times New Roman Regular"/>
          <w:b/>
          <w:bCs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【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实现优化算法】 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Times New Roman Regular" w:hAnsi="Times New Roman Regular" w:eastAsia="宋体 (正文)" w:cs="Times New Roman Regular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宋体 (正文)" w:cs="Times New Roman Regular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实现梯度下降和Adagrad算法代码文件：分别在 GD.py 和 Adagrad.py 中填空。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default" w:ascii="Times New Roman Regular" w:hAnsi="Times New Roman Regular" w:eastAsia="宋体 (正文)" w:cs="Times New Roman Regular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宋体 (正文)" w:cs="Times New Roman Regular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实验要求：对梯度下降算法进行N(N&gt;3)种以上参数设置（不同学习率和迭代次数），如表1所示。</w:t>
      </w:r>
    </w:p>
    <w:p>
      <w:pPr>
        <w:pStyle w:val="2"/>
        <w:jc w:val="center"/>
        <w:rPr>
          <w:rFonts w:hint="eastAsia" w:eastAsia="宋体"/>
          <w:sz w:val="16"/>
          <w:szCs w:val="21"/>
          <w:lang w:eastAsia="zh-CN"/>
        </w:rPr>
      </w:pPr>
      <w:r>
        <w:rPr>
          <w:sz w:val="16"/>
          <w:szCs w:val="21"/>
        </w:rPr>
        <w:t>表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SEQ 表 \* ARABIC </w:instrText>
      </w:r>
      <w:r>
        <w:rPr>
          <w:sz w:val="16"/>
          <w:szCs w:val="21"/>
        </w:rPr>
        <w:fldChar w:fldCharType="separate"/>
      </w:r>
      <w:r>
        <w:rPr>
          <w:sz w:val="16"/>
          <w:szCs w:val="21"/>
        </w:rPr>
        <w:t>1</w:t>
      </w:r>
      <w:r>
        <w:rPr>
          <w:sz w:val="16"/>
          <w:szCs w:val="21"/>
        </w:rPr>
        <w:fldChar w:fldCharType="end"/>
      </w:r>
      <w:r>
        <w:rPr>
          <w:rFonts w:hint="eastAsia"/>
          <w:sz w:val="16"/>
          <w:szCs w:val="21"/>
          <w:lang w:eastAsia="zh-CN"/>
        </w:rPr>
        <w:t xml:space="preserve"> N组参数设置</w:t>
      </w:r>
    </w:p>
    <w:tbl>
      <w:tblPr>
        <w:tblStyle w:val="4"/>
        <w:tblW w:w="0" w:type="auto"/>
        <w:tblInd w:w="15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2841"/>
        <w:gridCol w:w="1567"/>
      </w:tblGrid>
      <w:tr>
        <w:tc>
          <w:tcPr>
            <w:tcW w:w="1321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学习率</w:t>
            </w:r>
          </w:p>
        </w:tc>
        <w:tc>
          <w:tcPr>
            <w:tcW w:w="1567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迭代代数</w:t>
            </w:r>
          </w:p>
        </w:tc>
      </w:tr>
      <w:t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参数设置1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0.0000001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100000</w:t>
            </w:r>
          </w:p>
        </w:tc>
      </w:tr>
      <w:t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参数设置2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0.000001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100000</w:t>
            </w:r>
          </w:p>
        </w:tc>
      </w:tr>
      <w:t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参数设置3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0.000001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500000</w:t>
            </w:r>
          </w:p>
        </w:tc>
      </w:tr>
      <w:t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.....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......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........</w:t>
            </w:r>
          </w:p>
        </w:tc>
      </w:tr>
      <w:tr>
        <w:tc>
          <w:tcPr>
            <w:tcW w:w="1321" w:type="dxa"/>
            <w:tcBorders>
              <w:top w:val="nil"/>
              <w:left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参数设置</w:t>
            </w:r>
            <w:r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N</w:t>
            </w:r>
          </w:p>
        </w:tc>
        <w:tc>
          <w:tcPr>
            <w:tcW w:w="2841" w:type="dxa"/>
            <w:tcBorders>
              <w:top w:val="nil"/>
              <w:left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?</w:t>
            </w:r>
          </w:p>
        </w:tc>
        <w:tc>
          <w:tcPr>
            <w:tcW w:w="1567" w:type="dxa"/>
            <w:tcBorders>
              <w:top w:val="nil"/>
              <w:left w:val="nil"/>
              <w:right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宋体 (正文)" w:hAnsi="宋体 (正文)" w:eastAsia="宋体 (正文)" w:cs="宋体 (正文)"/>
                <w:i w:val="0"/>
                <w:iCs w:val="0"/>
                <w:caps w:val="0"/>
                <w:color w:val="495057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?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 (正文)" w:hAnsi="宋体 (正文)" w:eastAsia="宋体 (正文)" w:cs="宋体 (正文)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 (正文)" w:hAnsi="宋体 (正文)" w:eastAsia="宋体 (正文)" w:cs="宋体 (正文)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以上结果展示</w:t>
      </w:r>
      <w:r>
        <w:rPr>
          <w:rFonts w:hint="default" w:ascii="宋体 (正文)" w:hAnsi="宋体 (正文)" w:eastAsia="宋体 (正文)" w:cs="宋体 (正文)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:</w:t>
      </w:r>
      <w:r>
        <w:rPr>
          <w:rFonts w:hint="default" w:ascii="宋体 (正文)" w:hAnsi="宋体 (正文)" w:eastAsia="宋体 (正文)" w:cs="宋体 (正文)"/>
          <w:b/>
          <w:bCs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宋体 (正文)" w:hAnsi="宋体 (正文)" w:eastAsia="宋体 (正文)" w:cs="宋体 (正文)"/>
          <w:b/>
          <w:bCs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共N张图，图中横轴表示 b 的值，纵轴表示 w 的值</w:t>
      </w:r>
      <w:r>
        <w:rPr>
          <w:rFonts w:hint="eastAsia" w:ascii="宋体 (正文)" w:hAnsi="宋体 (正文)" w:eastAsia="宋体 (正文)" w:cs="宋体 (正文)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。绘图结果需与给定示例相符，示例如图1。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 Regular" w:hAnsi="Times New Roman Regular" w:eastAsia="宋体 (正文)" w:cs="Times New Roman Regular"/>
          <w:i w:val="0"/>
          <w:iCs w:val="0"/>
          <w:caps w:val="0"/>
          <w:color w:val="495057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宋体 (正文)" w:cs="Times New Roman Regular"/>
          <w:i w:val="0"/>
          <w:iCs w:val="0"/>
          <w:caps w:val="0"/>
          <w:color w:val="495057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5273040" cy="3566160"/>
            <wp:effectExtent l="0" t="0" r="0" b="0"/>
            <wp:docPr id="2" name="图片 2" descr="任务1示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任务1示例结果"/>
                    <pic:cNvPicPr>
                      <a:picLocks noChangeAspect="1"/>
                    </pic:cNvPicPr>
                  </pic:nvPicPr>
                  <pic:blipFill>
                    <a:blip r:embed="rId4"/>
                    <a:srcRect t="98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 Regular" w:hAnsi="Times New Roman Regular" w:cs="Times New Roman Regular" w:eastAsiaTheme="minorEastAsia"/>
          <w:i w:val="0"/>
          <w:iCs w:val="0"/>
          <w:caps w:val="0"/>
          <w:color w:val="495057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sz w:val="22"/>
          <w:szCs w:val="32"/>
        </w:rPr>
        <w:t xml:space="preserve">图 </w:t>
      </w:r>
      <w:r>
        <w:rPr>
          <w:rFonts w:hint="default" w:ascii="Times New Roman Regular" w:hAnsi="Times New Roman Regular" w:cs="Times New Roman Regular"/>
          <w:sz w:val="22"/>
          <w:szCs w:val="32"/>
        </w:rPr>
        <w:fldChar w:fldCharType="begin"/>
      </w:r>
      <w:r>
        <w:rPr>
          <w:rFonts w:hint="default" w:ascii="Times New Roman Regular" w:hAnsi="Times New Roman Regular" w:cs="Times New Roman Regular"/>
          <w:sz w:val="22"/>
          <w:szCs w:val="32"/>
        </w:rPr>
        <w:instrText xml:space="preserve"> SEQ 图 \* ARABIC </w:instrText>
      </w:r>
      <w:r>
        <w:rPr>
          <w:rFonts w:hint="default" w:ascii="Times New Roman Regular" w:hAnsi="Times New Roman Regular" w:cs="Times New Roman Regular"/>
          <w:sz w:val="22"/>
          <w:szCs w:val="32"/>
        </w:rPr>
        <w:fldChar w:fldCharType="separate"/>
      </w:r>
      <w:r>
        <w:rPr>
          <w:rFonts w:hint="default" w:ascii="Times New Roman Regular" w:hAnsi="Times New Roman Regular" w:cs="Times New Roman Regular"/>
          <w:sz w:val="22"/>
          <w:szCs w:val="32"/>
        </w:rPr>
        <w:t>1</w:t>
      </w:r>
      <w:r>
        <w:rPr>
          <w:rFonts w:hint="default" w:ascii="Times New Roman Regular" w:hAnsi="Times New Roman Regular" w:cs="Times New Roman Regular"/>
          <w:sz w:val="22"/>
          <w:szCs w:val="32"/>
        </w:rPr>
        <w:fldChar w:fldCharType="end"/>
      </w:r>
      <w:r>
        <w:rPr>
          <w:rFonts w:hint="default" w:ascii="Times New Roman Regular" w:hAnsi="Times New Roman Regular" w:cs="Times New Roman Regular"/>
          <w:sz w:val="22"/>
          <w:szCs w:val="32"/>
          <w:lang w:eastAsia="zh-CN"/>
        </w:rPr>
        <w:t xml:space="preserve"> 超参数对比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此外提供不同超参数下Loss的变化曲线图，如图2，并给出有关超参数选择的思考逻辑（字数需在50~300范围内）。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  <w:r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4446270" cy="3494405"/>
            <wp:effectExtent l="0" t="0" r="0" b="0"/>
            <wp:docPr id="3" name="图片 3" descr="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示例"/>
                    <pic:cNvPicPr>
                      <a:picLocks noChangeAspect="1"/>
                    </pic:cNvPicPr>
                  </pic:nvPicPr>
                  <pic:blipFill>
                    <a:blip r:embed="rId5"/>
                    <a:srcRect l="7631" t="11767" r="7957" b="3584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 (正文)" w:hAnsi="宋体 (正文)" w:cs="宋体 (正文)" w:eastAsiaTheme="minorEastAsia"/>
          <w:b w:val="0"/>
          <w:bCs w:val="0"/>
          <w:i w:val="0"/>
          <w:iCs w:val="0"/>
          <w:caps w:val="0"/>
          <w:color w:val="495057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  <w:r>
        <w:rPr>
          <w:sz w:val="22"/>
          <w:szCs w:val="32"/>
        </w:rPr>
        <w:t xml:space="preserve">图 </w:t>
      </w:r>
      <w:r>
        <w:rPr>
          <w:sz w:val="22"/>
          <w:szCs w:val="32"/>
        </w:rPr>
        <w:fldChar w:fldCharType="begin"/>
      </w:r>
      <w:r>
        <w:rPr>
          <w:sz w:val="22"/>
          <w:szCs w:val="32"/>
        </w:rPr>
        <w:instrText xml:space="preserve"> SEQ 图 \* ARABIC </w:instrText>
      </w:r>
      <w:r>
        <w:rPr>
          <w:sz w:val="22"/>
          <w:szCs w:val="32"/>
        </w:rPr>
        <w:fldChar w:fldCharType="separate"/>
      </w:r>
      <w:r>
        <w:rPr>
          <w:sz w:val="22"/>
          <w:szCs w:val="32"/>
        </w:rPr>
        <w:t>2</w:t>
      </w:r>
      <w:r>
        <w:rPr>
          <w:sz w:val="22"/>
          <w:szCs w:val="32"/>
        </w:rPr>
        <w:fldChar w:fldCharType="end"/>
      </w:r>
      <w:r>
        <w:rPr>
          <w:rFonts w:hint="eastAsia"/>
          <w:sz w:val="22"/>
          <w:szCs w:val="32"/>
          <w:lang w:eastAsia="zh-CN"/>
        </w:rPr>
        <w:t xml:space="preserve"> 不同学习率下的损失函数曲线对比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【任务一的开放性问题】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firstLine="420" w:firstLineChars="0"/>
        <w:jc w:val="left"/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梯度下降算法和Adagrad算法中参数设置对算法性能的影响。（言之有理即可，没有标准答案，字数需在50~300范围内）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宋体 (正文)" w:hAnsi="宋体 (正文)" w:eastAsia="宋体 (正文)" w:cs="宋体 (正文)"/>
          <w:b w:val="0"/>
          <w:bCs w:val="0"/>
          <w:i w:val="0"/>
          <w:iCs w:val="0"/>
          <w:caps w:val="0"/>
          <w:color w:val="495057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任务二【选择题】</w:t>
      </w:r>
    </w:p>
    <w:p>
      <w:pPr>
        <w:spacing w:line="360" w:lineRule="auto"/>
        <w:rPr>
          <w:rFonts w:hint="default" w:ascii="Times New Roman Regular" w:hAnsi="Times New Roman Regular" w:cs="Times New Roman Regular"/>
          <w:i w:val="0"/>
          <w:iCs w:val="0"/>
          <w:lang w:val="en-US"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lang w:val="en-US" w:eastAsia="zh-CN"/>
        </w:rPr>
        <w:t>如果函数</w:t>
      </w:r>
      <m:oMath>
        <m:r>
          <m:rPr/>
          <w:rPr>
            <w:rFonts w:hint="default" w:ascii="DejaVu Math TeX Gyre" w:hAnsi="DejaVu Math TeX Gyre" w:cs="Times New Roman Regular"/>
            <w:lang w:val="en-US" w:eastAsia="zh-CN"/>
          </w:rPr>
          <m:t>L</m:t>
        </m:r>
        <m:d>
          <m:dPr>
            <m:ctrlPr>
              <w:rPr>
                <w:rFonts w:hint="default" w:ascii="DejaVu Math TeX Gyre" w:hAnsi="DejaVu Math TeX Gyre" w:cs="Times New Roman Regular"/>
                <w:i w:val="0"/>
                <w:iCs w:val="0"/>
                <w:lang w:val="en-US"/>
              </w:rPr>
            </m:ctrlPr>
          </m:dPr>
          <m:e>
            <m:r>
              <m:rPr>
                <m:sty m:val="p"/>
              </m:rPr>
              <w:rPr>
                <w:rFonts w:hint="default" w:ascii="DejaVu Math TeX Gyre" w:hAnsi="DejaVu Math TeX Gyre" w:cs="Times New Roman Regular"/>
                <w:lang w:val="en-US"/>
              </w:rPr>
              <m:t>β</m:t>
            </m:r>
            <m:ctrlPr>
              <w:rPr>
                <w:rFonts w:hint="default" w:ascii="DejaVu Math TeX Gyre" w:hAnsi="DejaVu Math TeX Gyre" w:cs="Times New Roman Regular"/>
                <w:i w:val="0"/>
                <w:iCs w:val="0"/>
                <w:lang w:val="en-US"/>
              </w:rPr>
            </m:ctrlPr>
          </m:e>
        </m:d>
      </m:oMath>
      <w:r>
        <w:rPr>
          <w:rFonts w:hint="default" w:ascii="Times New Roman Regular" w:hAnsi="Times New Roman Regular" w:cs="Times New Roman Regular"/>
          <w:i w:val="0"/>
          <w:iCs w:val="0"/>
          <w:lang w:val="en-US" w:eastAsia="zh-CN"/>
        </w:rPr>
        <w:t>为凹函数，则</w:t>
      </w:r>
      <m:oMath>
        <m:r>
          <m:rPr/>
          <w:rPr>
            <w:rFonts w:hint="default" w:ascii="DejaVu Math TeX Gyre" w:hAnsi="DejaVu Math TeX Gyre" w:cs="Times New Roman Regular"/>
            <w:kern w:val="2"/>
            <w:sz w:val="21"/>
            <w:szCs w:val="24"/>
            <w:lang w:val="en-US" w:eastAsia="zh-CN" w:bidi="ar-SA"/>
          </w:rPr>
          <m:t>F</m:t>
        </m:r>
        <m:d>
          <m:dPr>
            <m:ctrlPr>
              <w:rPr>
                <w:rFonts w:hint="default" w:ascii="DejaVu Math TeX Gyre" w:hAnsi="DejaVu Math TeX Gyre" w:cs="Times New Roman Regular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dPr>
          <m:e>
            <m:r>
              <m:rPr/>
              <w:rPr>
                <w:rFonts w:hint="default" w:ascii="DejaVu Math TeX Gyre" w:hAnsi="DejaVu Math TeX Gyre" w:cs="Times New Roman Regular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default" w:ascii="DejaVu Math TeX Gyre" w:hAnsi="DejaVu Math TeX Gyre" w:cs="Times New Roman Regular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e>
        </m:d>
        <m:r>
          <m:rPr/>
          <w:rPr>
            <w:rFonts w:hint="default" w:ascii="DejaVu Math TeX Gyre" w:hAnsi="DejaVu Math TeX Gyre" w:cs="Times New Roman Regular"/>
            <w:kern w:val="2"/>
            <w:sz w:val="21"/>
            <w:szCs w:val="24"/>
            <w:lang w:val="en-US" w:eastAsia="zh-CN" w:bidi="ar-SA"/>
          </w:rPr>
          <m:t>:=−</m:t>
        </m:r>
        <m:r>
          <m:rPr/>
          <w:rPr>
            <w:rFonts w:hint="default" w:ascii="DejaVu Math TeX Gyre" w:hAnsi="DejaVu Math TeX Gyre" w:cs="Times New Roman Regular"/>
            <w:lang w:val="en-US" w:eastAsia="zh-CN"/>
          </w:rPr>
          <m:t>L</m:t>
        </m:r>
        <m:d>
          <m:dPr>
            <m:ctrlPr>
              <w:rPr>
                <w:rFonts w:hint="default" w:ascii="DejaVu Math TeX Gyre" w:hAnsi="DejaVu Math TeX Gyre" w:cs="Times New Roman Regular"/>
                <w:i/>
                <w:iCs/>
                <w:lang w:val="en-US"/>
              </w:rPr>
            </m:ctrlPr>
          </m:dPr>
          <m:e>
            <m:r>
              <m:rPr/>
              <w:rPr>
                <w:rFonts w:hint="default" w:ascii="DejaVu Math TeX Gyre" w:hAnsi="DejaVu Math TeX Gyre" w:cs="Times New Roman Regular"/>
                <w:lang w:val="en-US"/>
              </w:rPr>
              <m:t>β</m:t>
            </m:r>
            <m:ctrlPr>
              <w:rPr>
                <w:rFonts w:hint="default" w:ascii="DejaVu Math TeX Gyre" w:hAnsi="DejaVu Math TeX Gyre" w:cs="Times New Roman Regular"/>
                <w:i/>
                <w:iCs/>
                <w:lang w:val="en-US"/>
              </w:rPr>
            </m:ctrlPr>
          </m:e>
        </m:d>
      </m:oMath>
      <w:r>
        <w:rPr>
          <w:rFonts w:hint="default" w:ascii="Times New Roman Regular" w:hAnsi="Times New Roman Regular" w:cs="Times New Roman Regular"/>
          <w:i w:val="0"/>
          <w:iCs w:val="0"/>
          <w:lang w:val="en-US" w:eastAsia="zh-CN"/>
        </w:rPr>
        <w:t>为凸函数。梯度上升采用的更新公式为</w:t>
      </w:r>
    </w:p>
    <w:p>
      <w:pPr>
        <w:spacing w:line="360" w:lineRule="auto"/>
        <w:rPr>
          <w:rFonts w:hint="default" w:hAnsi="DejaVu Math TeX Gyre" w:cs="Times New Roman Regular"/>
          <w:i w:val="0"/>
          <w:iCs w:val="0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cs="Times New Roman Regular"/>
              <w:lang w:val="en-US"/>
            </w:rPr>
            <m:t>β←β</m:t>
          </m:r>
          <m:r>
            <m:rPr/>
            <w:rPr>
              <w:rFonts w:hint="default" w:ascii="DejaVu Math TeX Gyre" w:hAnsi="DejaVu Math TeX Gyre" w:cs="Times New Roman Regular"/>
              <w:lang w:val="en-US" w:eastAsia="zh-CN"/>
            </w:rPr>
            <m:t>+η</m:t>
          </m:r>
          <m:sSub>
            <m:sSubP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 Regular"/>
                  <w:lang w:val="en-US"/>
                </w:rPr>
                <m:t>∇</m:t>
              </m: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 Regular"/>
                  <w:lang w:val="en-US"/>
                </w:rPr>
                <m:t>β</m:t>
              </m: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sub>
          </m:sSub>
          <m:r>
            <m:rPr/>
            <w:rPr>
              <w:rFonts w:hint="default" w:ascii="DejaVu Math TeX Gyre" w:hAnsi="DejaVu Math TeX Gyre" w:cs="Times New Roman Regular"/>
              <w:lang w:val="en-US" w:eastAsia="zh-CN"/>
            </w:rPr>
            <m:t>L</m:t>
          </m:r>
          <m:d>
            <m:dP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dPr>
            <m:e>
              <m:r>
                <m:rPr/>
                <w:rPr>
                  <w:rFonts w:hint="default" w:ascii="DejaVu Math TeX Gyre" w:hAnsi="DejaVu Math TeX Gyre" w:cs="Times New Roman Regular"/>
                  <w:lang w:val="en-US"/>
                </w:rPr>
                <m:t>β</m:t>
              </m: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e>
          </m:d>
        </m:oMath>
      </m:oMathPara>
    </w:p>
    <w:p>
      <w:pPr>
        <w:spacing w:line="360" w:lineRule="auto"/>
        <w:rPr>
          <w:rFonts w:hint="eastAsia" w:hAnsi="DejaVu Math TeX Gyre" w:cs="Times New Roman Regular"/>
          <w:i w:val="0"/>
          <w:iCs w:val="0"/>
          <w:lang w:val="en-US" w:eastAsia="zh-CN"/>
        </w:rPr>
      </w:pPr>
      <w:r>
        <w:rPr>
          <w:rFonts w:hint="eastAsia" w:hAnsi="DejaVu Math TeX Gyre" w:cs="Times New Roman Regular"/>
          <w:i w:val="0"/>
          <w:iCs w:val="0"/>
          <w:lang w:val="en-US" w:eastAsia="zh-CN"/>
        </w:rPr>
        <w:t>而梯度下降的更新公式为</w:t>
      </w:r>
    </w:p>
    <w:p>
      <w:pPr>
        <w:spacing w:line="360" w:lineRule="auto"/>
        <w:rPr>
          <w:rFonts w:hint="default" w:hAnsi="DejaVu Math TeX Gyre" w:cs="Times New Roman Regular"/>
          <w:i/>
          <w:iCs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cs="Times New Roman Regular"/>
              <w:lang w:val="en-US"/>
            </w:rPr>
            <m:t>β←β</m:t>
          </m:r>
          <m:r>
            <m:rPr/>
            <w:rPr>
              <w:rFonts w:hint="default" w:ascii="DejaVu Math TeX Gyre" w:hAnsi="DejaVu Math TeX Gyre" w:cs="Times New Roman Regular"/>
              <w:lang w:val="en-US" w:eastAsia="zh-CN"/>
            </w:rPr>
            <m:t>−</m:t>
          </m:r>
          <w:bookmarkStart w:id="0" w:name="_GoBack"/>
          <w:bookmarkEnd w:id="0"/>
          <m:r>
            <m:rPr/>
            <w:rPr>
              <w:rFonts w:hint="default" w:ascii="DejaVu Math TeX Gyre" w:hAnsi="DejaVu Math TeX Gyre" w:cs="Times New Roman Regular"/>
              <w:lang w:val="en-US" w:eastAsia="zh-CN"/>
            </w:rPr>
            <m:t>η</m:t>
          </m:r>
          <m:sSub>
            <m:sSubP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 Regular"/>
                  <w:lang w:val="en-US"/>
                </w:rPr>
                <m:t>∇</m:t>
              </m: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 Regular"/>
                  <w:lang w:val="en-US"/>
                </w:rPr>
                <m:t>β</m:t>
              </m: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sub>
          </m:sSub>
          <m:r>
            <m:rPr/>
            <w:rPr>
              <w:rFonts w:hint="default" w:ascii="DejaVu Math TeX Gyre" w:hAnsi="DejaVu Math TeX Gyre" w:cs="Times New Roman Regular"/>
              <w:lang w:val="en-US" w:eastAsia="zh-CN"/>
            </w:rPr>
            <m:t>L</m:t>
          </m:r>
          <m:d>
            <m:dP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dPr>
            <m:e>
              <m:r>
                <m:rPr/>
                <w:rPr>
                  <w:rFonts w:hint="default" w:ascii="DejaVu Math TeX Gyre" w:hAnsi="DejaVu Math TeX Gyre" w:cs="Times New Roman Regular"/>
                  <w:lang w:val="en-US"/>
                </w:rPr>
                <m:t>β</m:t>
              </m:r>
              <m:ctrlPr>
                <w:rPr>
                  <w:rFonts w:hint="default" w:ascii="DejaVu Math TeX Gyre" w:hAnsi="DejaVu Math TeX Gyre" w:cs="Times New Roman Regular"/>
                  <w:i/>
                  <w:iCs/>
                  <w:lang w:val="en-US" w:eastAsia="zh-CN"/>
                </w:rPr>
              </m:ctrlPr>
            </m:e>
          </m:d>
        </m:oMath>
      </m:oMathPara>
    </w:p>
    <w:p>
      <w:pPr>
        <w:spacing w:line="360" w:lineRule="auto"/>
        <w:rPr>
          <w:rFonts w:hint="eastAsia" w:hAnsi="DejaVu Math TeX Gyre" w:cs="Times New Roman Regular"/>
          <w:i w:val="0"/>
          <w:iCs w:val="0"/>
          <w:lang w:val="en-US" w:eastAsia="zh-CN"/>
        </w:rPr>
      </w:pPr>
      <w:r>
        <w:rPr>
          <w:rFonts w:hint="eastAsia" w:hAnsi="DejaVu Math TeX Gyre" w:cs="Times New Roman Regular"/>
          <w:i w:val="0"/>
          <w:iCs w:val="0"/>
          <w:lang w:val="en-US" w:eastAsia="zh-CN"/>
        </w:rPr>
        <w:t>如果</w:t>
      </w:r>
      <m:oMath>
        <m:r>
          <m:rPr/>
          <w:rPr>
            <w:rFonts w:hint="default" w:ascii="DejaVu Math TeX Gyre" w:hAnsi="DejaVu Math TeX Gyre" w:cs="Times New Roman Regular"/>
            <w:lang w:val="en-US" w:eastAsia="zh-CN"/>
          </w:rPr>
          <m:t>L</m:t>
        </m:r>
        <m:d>
          <m:dPr>
            <m:ctrlPr>
              <w:rPr>
                <w:rFonts w:hint="default" w:ascii="DejaVu Math TeX Gyre" w:hAnsi="DejaVu Math TeX Gyre" w:cs="Times New Roman Regular"/>
                <w:i/>
                <w:iCs/>
                <w:lang w:val="en-US"/>
              </w:rPr>
            </m:ctrlPr>
          </m:dPr>
          <m:e>
            <m:r>
              <m:rPr/>
              <w:rPr>
                <w:rFonts w:hint="default" w:ascii="DejaVu Math TeX Gyre" w:hAnsi="DejaVu Math TeX Gyre" w:cs="Times New Roman Regular"/>
                <w:lang w:val="en-US"/>
              </w:rPr>
              <m:t>β</m:t>
            </m:r>
            <m:ctrlPr>
              <w:rPr>
                <w:rFonts w:hint="default" w:ascii="DejaVu Math TeX Gyre" w:hAnsi="DejaVu Math TeX Gyre" w:cs="Times New Roman Regular"/>
                <w:i/>
                <w:iCs/>
                <w:lang w:val="en-US"/>
              </w:rPr>
            </m:ctrlPr>
          </m:e>
        </m:d>
      </m:oMath>
      <w:r>
        <w:rPr>
          <w:rFonts w:hint="eastAsia" w:hAnsi="DejaVu Math TeX Gyre" w:cs="Times New Roman Regular"/>
          <w:i w:val="0"/>
          <w:iCs w:val="0"/>
          <w:lang w:val="en-US" w:eastAsia="zh-CN"/>
        </w:rPr>
        <w:t>为凹函数，梯度上升最终会收敛到什么？【提示：将梯度上升公式用</w:t>
      </w:r>
      <m:oMath>
        <m:r>
          <m:rPr>
            <m:sty m:val="p"/>
          </m:rPr>
          <w:rPr>
            <w:rFonts w:hint="default" w:ascii="DejaVu Math TeX Gyre" w:hAnsi="DejaVu Math TeX Gyre" w:cs="Times New Roman Regular"/>
            <w:kern w:val="2"/>
            <w:sz w:val="21"/>
            <w:szCs w:val="24"/>
            <w:lang w:val="en-US" w:eastAsia="zh-CN" w:bidi="ar-SA"/>
          </w:rPr>
          <m:t>F</m:t>
        </m:r>
        <m:d>
          <m:dPr>
            <m:ctrlPr>
              <w:rPr>
                <w:rFonts w:hint="default" w:ascii="DejaVu Math TeX Gyre" w:hAnsi="DejaVu Math TeX Gyre" w:cs="Times New Roman Regular"/>
                <w:i w:val="0"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default" w:ascii="DejaVu Math TeX Gyre" w:hAnsi="DejaVu Math TeX Gyre" w:cs="Times New Roman Regular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default" w:ascii="DejaVu Math TeX Gyre" w:hAnsi="DejaVu Math TeX Gyre" w:cs="Times New Roman Regular"/>
                <w:i w:val="0"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</m:d>
      </m:oMath>
      <w:r>
        <w:rPr>
          <w:rFonts w:hint="eastAsia" w:hAnsi="DejaVu Math TeX Gyre" w:cs="Times New Roman Regular"/>
          <w:i w:val="0"/>
          <w:iCs w:val="0"/>
          <w:kern w:val="2"/>
          <w:sz w:val="21"/>
          <w:szCs w:val="24"/>
          <w:lang w:val="en-US" w:eastAsia="zh-CN" w:bidi="ar-SA"/>
        </w:rPr>
        <w:t>表示，它看起来什么？</w:t>
      </w:r>
      <w:r>
        <w:rPr>
          <w:rFonts w:hint="eastAsia" w:hAnsi="DejaVu Math TeX Gyre" w:cs="Times New Roman Regular"/>
          <w:i w:val="0"/>
          <w:iCs w:val="0"/>
          <w:lang w:val="en-US" w:eastAsia="zh-CN"/>
        </w:rPr>
        <w:t>】</w:t>
      </w:r>
    </w:p>
    <w:p>
      <w:pPr>
        <w:numPr>
          <w:ilvl w:val="0"/>
          <w:numId w:val="2"/>
        </w:numPr>
        <w:spacing w:line="360" w:lineRule="auto"/>
        <w:rPr>
          <w:rFonts w:hint="eastAsia" w:hAnsi="DejaVu Math TeX Gyre" w:cs="Times New Roman Regular"/>
          <w:i w:val="0"/>
          <w:iCs w:val="0"/>
          <w:lang w:val="en-US" w:eastAsia="zh-CN"/>
        </w:rPr>
      </w:pPr>
      <w:r>
        <w:rPr>
          <w:rFonts w:hint="eastAsia" w:hAnsi="DejaVu Math TeX Gyre" w:cs="Times New Roman Regular"/>
          <w:i w:val="0"/>
          <w:iCs w:val="0"/>
          <w:lang w:val="en-US" w:eastAsia="zh-CN"/>
        </w:rPr>
        <w:t>全局最大值</w:t>
      </w:r>
    </w:p>
    <w:p>
      <w:pPr>
        <w:numPr>
          <w:ilvl w:val="0"/>
          <w:numId w:val="2"/>
        </w:numPr>
        <w:spacing w:line="360" w:lineRule="auto"/>
        <w:rPr>
          <w:rFonts w:hint="default" w:hAnsi="DejaVu Math TeX Gyre" w:cs="Times New Roman Regular"/>
          <w:i w:val="0"/>
          <w:iCs w:val="0"/>
          <w:lang w:val="en-US" w:eastAsia="zh-CN"/>
        </w:rPr>
      </w:pPr>
      <w:r>
        <w:rPr>
          <w:rFonts w:hint="eastAsia" w:hAnsi="DejaVu Math TeX Gyre" w:cs="Times New Roman Regular"/>
          <w:i w:val="0"/>
          <w:iCs w:val="0"/>
          <w:lang w:val="en-US" w:eastAsia="zh-CN"/>
        </w:rPr>
        <w:t>全局最小值</w:t>
      </w:r>
    </w:p>
    <w:p>
      <w:pPr>
        <w:numPr>
          <w:ilvl w:val="0"/>
          <w:numId w:val="2"/>
        </w:numPr>
        <w:spacing w:line="360" w:lineRule="auto"/>
        <w:rPr>
          <w:rFonts w:hint="default" w:hAnsi="DejaVu Math TeX Gyre" w:cs="Times New Roman Regular"/>
          <w:i w:val="0"/>
          <w:iCs w:val="0"/>
          <w:lang w:val="en-US" w:eastAsia="zh-CN"/>
        </w:rPr>
      </w:pPr>
      <w:r>
        <w:rPr>
          <w:rFonts w:hint="eastAsia" w:hAnsi="DejaVu Math TeX Gyre" w:cs="Times New Roman Regular"/>
          <w:i w:val="0"/>
          <w:iCs w:val="0"/>
          <w:lang w:val="en-US" w:eastAsia="zh-CN"/>
        </w:rPr>
        <w:t>局部最小值</w:t>
      </w:r>
    </w:p>
    <w:p>
      <w:pPr>
        <w:numPr>
          <w:ilvl w:val="0"/>
          <w:numId w:val="2"/>
        </w:numPr>
        <w:spacing w:line="360" w:lineRule="auto"/>
        <w:rPr>
          <w:rFonts w:hint="default" w:hAnsi="DejaVu Math TeX Gyre" w:cs="Times New Roman Regular"/>
          <w:i w:val="0"/>
          <w:iCs w:val="0"/>
          <w:lang w:val="en-US" w:eastAsia="zh-CN"/>
        </w:rPr>
      </w:pPr>
      <w:r>
        <w:rPr>
          <w:rFonts w:hint="eastAsia" w:hAnsi="DejaVu Math TeX Gyre" w:cs="Times New Roman Regular"/>
          <w:i w:val="0"/>
          <w:iCs w:val="0"/>
          <w:lang w:val="en-US" w:eastAsia="zh-CN"/>
        </w:rPr>
        <w:t>局部最大值</w:t>
      </w:r>
    </w:p>
    <w:p>
      <w:pPr>
        <w:rPr>
          <w:rFonts w:hint="default" w:hAnsi="DejaVu Math TeX Gyre" w:cs="Times New Roman Regular"/>
          <w:i w:val="0"/>
          <w:lang w:val="en-US" w:eastAsia="zh-CN"/>
        </w:rPr>
      </w:pPr>
    </w:p>
    <w:p>
      <w:pPr>
        <w:jc w:val="center"/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 (正文)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EFFA2"/>
    <w:multiLevelType w:val="singleLevel"/>
    <w:tmpl w:val="FE4EFF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9B8B"/>
    <w:multiLevelType w:val="singleLevel"/>
    <w:tmpl w:val="FFFF9B8B"/>
    <w:lvl w:ilvl="0" w:tentative="0">
      <w:start w:val="1"/>
      <w:numFmt w:val="upperLetter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F0AF"/>
    <w:rsid w:val="6BDD412E"/>
    <w:rsid w:val="FEEFF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2025-03-10T04:46:00Z</dcterms:created>
  <dc:creator>Tobi</dc:creator>
  <cp:lastModifiedBy>Tobi</cp:lastModifiedBy>
  <dcterms:modified xsi:type="dcterms:W3CDTF">2025-03-09T21:18:22Z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DFC11C86852839DEB98DCD677E256A88_41</vt:lpwstr>
  </property>
</Properties>
</file>