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黑体" w:hAnsi="黑体" w:eastAsia="黑体"/>
          <w:b/>
          <w:sz w:val="32"/>
        </w:rPr>
        <w:t>审稿评估报告</w:t>
      </w:r>
    </w:p>
    <w:p>
      <w:pPr>
        <w:spacing w:after="40" w:line="300" w:lineRule="auto"/>
        <w:jc w:val="center"/>
      </w:pPr>
      <w:r>
        <w:rPr>
          <w:rFonts w:ascii="宋体" w:hAnsi="宋体" w:eastAsia="宋体"/>
          <w:b/>
          <w:sz w:val="24"/>
        </w:rPr>
        <w:t>论文题目：DeepONet-Based Neural Network for Thomson Scattering Profile Fitting on EAST Tokamak</w:t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sz w:val="21"/>
        </w:rPr>
        <w:t>（中文版：基于 DeepONet 的 EAST 汤姆逊散射剖面拟合神经网络方法）</w:t>
      </w:r>
    </w:p>
    <w:p>
      <w:pPr>
        <w:spacing w:after="200" w:line="300" w:lineRule="auto"/>
      </w:pPr>
      <w:r>
        <w:rPr>
          <w:rFonts w:ascii="宋体" w:hAnsi="宋体" w:eastAsia="宋体"/>
          <w:b w:val="0"/>
          <w:sz w:val="18"/>
        </w:rPr>
        <w:t>评估对象：paper/manuscript.tex（英文 17 页 / 中文 18 页，6 图 3 表，23 篇参考文献，五架构：ProfileNet、LSTM、Transformer、CNN-DeepONet、纯 CNN-1D 控制组）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评估内容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研究方向</w:t>
              <w:br/>
              <w:t>创新性分析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本文面向 EAST 托卡马克汤姆逊散射（TS）诊断的剖面拟合问题，提出基于 DeepONet （分支-主干算子学习）架构的神经网络方法，将现有 mtanh 拟合的七步手工管线（IQR 异常值清洗→芯部样条→台基 mtanh 参数优化→平滑过渡→左边界修正等）压缩为单次约 14 ms 前向传播。选题具有明确的工程驱动：EAST 年产数千炮放电，传统方法依赖诊断特异性代码分支与人工目视检验，难以支撑大规模自动化数据处理。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创新点 1：</w:t>
            </w:r>
            <w:r>
              <w:rPr>
                <w:rFonts w:ascii="宋体" w:hAnsi="宋体" w:eastAsia="宋体"/>
                <w:b w:val="0"/>
                <w:sz w:val="21"/>
              </w:rPr>
              <w:t>首次将 DeepONet 算子学习架构应用于 EAST TS 剖面拟合。与已有 ML 剖面工作相比——GPR（Choi &amp; Poli, Phys. Plasmas 2022）、Diag2Diag TS 时序超分辨（Jalalvand et al., Nat. Commun. 2024）、CNN/BPNN 密度剖面重建（Lan et al., PPCF 2023）——本文的差异点在于受控的架构系统对比，而非单一模型的性能展示。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创新点 2：</w:t>
            </w:r>
            <w:r>
              <w:rPr>
                <w:rFonts w:ascii="宋体" w:hAnsi="宋体" w:eastAsia="宋体"/>
                <w:b w:val="0"/>
                <w:sz w:val="21"/>
              </w:rPr>
              <w:t>五架构受控对比设计严谨：四种架构（ProfileNet/LSTM/Transformer/CNN-DeepONet）共享同一 CoordDecoder 主干网络与物理约束损失，纯 CNN-1D 作为不使用分支-主干结构的控制组；后补的 CNN-DeepONet 变体进一步消解了"编码器 vs 解码器"的实验混淆，将 CNN-1D 在 Ti 上的劣势干净地归因于解码器（换用主干后 Ti MAE 由 0.142 降至 0.082 keV，−42%）。这一对照设计在同类工作中少见，具有方法学示范意义。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创新点 3：</w:t>
            </w:r>
            <w:r>
              <w:rPr>
                <w:rFonts w:ascii="宋体" w:hAnsi="宋体" w:eastAsia="宋体"/>
                <w:b w:val="0"/>
                <w:sz w:val="21"/>
              </w:rPr>
              <w:t>消融实验得出核心发现"架构即正则化"：移除物理约束损失后，纯 CNN-1D MAE 恶化 +30.9%，而 DeepONet 架构反而改善（−11.5%/−11.4%），并以通用算子逼近定理（Lu et al. 2021）给出了数学解释——输出恒为光滑基函数的线性组合。该发现对科学机器学习领域的架构选择具有一般性启示。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创新点 4：</w:t>
            </w:r>
            <w:r>
              <w:rPr>
                <w:rFonts w:ascii="宋体" w:hAnsi="宋体" w:eastAsia="宋体"/>
                <w:b w:val="0"/>
                <w:sz w:val="21"/>
              </w:rPr>
              <w:t>提出诊断-架构匹配规律（Te→CNN、ne→Transformer、Ti→LSTM），并将其归因于三种诊断的空间采样特征差异；同时量化了剖面拟合差异对 LHW 电流驱动计算的下游影响（ΔI≈24%），超出了纯拟合精度评估的范畴。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风险提示：</w:t>
            </w:r>
            <w:r>
              <w:rPr>
                <w:rFonts w:ascii="宋体" w:hAnsi="宋体" w:eastAsia="宋体"/>
                <w:b w:val="0"/>
                <w:sz w:val="21"/>
              </w:rPr>
              <w:t>"用 NN 拟合等离子体剖面"的概念本身已有先例（GPR 等），本文诚实定位为"mtanh 的快速近似"而非精度替代，创新性偏工程与方法学，属增量但扎实的贡献；审稿人可能质疑训练标签来自 mtanh 存在循环论证，论文已用 scatter-MSE 概念验证部分回应，建议在正文中进一步强化该论证。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文章整体</w:t>
              <w:br/>
              <w:t>内容分析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优势：</w:t>
            </w: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受控实验设计科学：统一 CoordDecoder、统一物理约束损失（λ 权重一致）、统一训练协议（AdamW + 余弦退火 + early stopping），保证五架构公平对比；按炮号分层 70/15/15 划分训练/验证/测试集，有效防止数据泄露。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对照组体系完整：纯 CNN-1D（无分支-主干）与 CNN-DeepONet（CNN 编码器+共享主干）构成成对对照，实验结论可归因。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训练数据规模与覆盖充分：161 炮、2015–2024 年跨十年（炮号 60150–149600），H 模样本 Te 342 / ne 302 / Ti 148。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下游物理验证意识好：将 NN 剖面接入 LHW 电流驱动模型量化误差传播（ΔI≈24%），并明确指出该对比只量化"传播"而非"正确性"，表述克制、可信。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论文定位诚实："fast approximation to mtanh"而非替代者，避免了夸大贡献的常见问题。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不足与提升空间：</w:t>
            </w: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测试集规模偏小：仅 4 炮 20 个时间点（300 剖面），且全部为 2024 年炮号；跨年代泛化（80k–131k 早期炮）未验证，L 模仅 6 个时间点，跨模式结论的统计效力有限。建议补充 2–3 个早期炮号或注明限制。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训练标签依赖 mtanh：NN 学习的是"mtanh 认为合理的剖面"，存在循环论证风险。scatter-MSE 概念验证实验（正文讨论中提及）是重要回应，但当前仅在讨论中一句话带过，建议扩展为正文小节或附表。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LHW 下游对比缺乏实验验证：无 LHCD 驱动电流的实验测量对照，且仅用了156400 一炮（n=1 案例），结论外推性有限。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ONETWO 输运验证未打通（ZFIT exit 91），完整物理闭环缺失；论文已如实说明，但这削弱了"下游影响"论证的深度。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消融实验仅覆盖 Te 诊断的 4 个架构：CNN-DeepONet 未纳入消融（文中已注明留待未来工作）；LSTM 中间态（+12.7%）的解释偏定性。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6. </w:t>
            </w:r>
            <w:r>
              <w:rPr>
                <w:rFonts w:ascii="宋体" w:hAnsi="宋体" w:eastAsia="宋体"/>
                <w:b w:val="0"/>
                <w:sz w:val="21"/>
              </w:rPr>
              <w:t>台基区域（ρ=0.85–1.0）无单独定量 MAE，仅定性讨论"NN 跟踪台基形状良好"，而台基恰是 H 模拟合的最难点。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7. </w:t>
            </w:r>
            <w:r>
              <w:rPr>
                <w:rFonts w:ascii="宋体" w:hAnsi="宋体" w:eastAsia="宋体"/>
                <w:b w:val="0"/>
                <w:sz w:val="21"/>
              </w:rPr>
              <w:t>无不确定性量化：相比 GPR 方法的天然优势（输出后验不确定性）缺失，限制了在输运分析等下游任务中的可信度。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8. </w:t>
            </w:r>
            <w:r>
              <w:rPr>
                <w:rFonts w:ascii="宋体" w:hAnsi="宋体" w:eastAsia="宋体"/>
                <w:b w:val="0"/>
                <w:sz w:val="21"/>
              </w:rPr>
              <w:t>正文声称计算了 RMSE、MaxAE、MeanRel% 等指标，但 Table 2 仅展示 MAE±std，承诺未兑现。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9. </w:t>
            </w:r>
            <w:r>
              <w:rPr>
                <w:rFonts w:ascii="宋体" w:hAnsi="宋体" w:eastAsia="宋体"/>
                <w:b w:val="0"/>
                <w:sz w:val="21"/>
              </w:rPr>
              <w:t>消融实验未报告训练方差（是否多种子重复？），单次训练结果的 ±30.9%等数值的稳健性存疑。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10. </w:t>
            </w:r>
            <w:r>
              <w:rPr>
                <w:rFonts w:ascii="宋体" w:hAnsi="宋体" w:eastAsia="宋体"/>
                <w:b w:val="0"/>
                <w:sz w:val="21"/>
              </w:rPr>
              <w:t>Ti 训练样本仅 ~148（vs Te ~342），TXCS 稀疏输入（5–15 点）下各架构差异的结论受样本量限制。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文章语言表达</w:t>
              <w:br/>
              <w:t>可读性审查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整体语言流畅、逻辑清晰、段落组织合理；经前期大幅缩减（42→16 页）后信息密度高，结构紧凑。以下问题建议修改：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摘要第二段长句偏多：一段内同时承载消融发现、CNN-DeepONet 对照、诊断-架构匹配三件事，嵌套从句层级深（如 "demonstrating that the dot-product formulation ... providing structural regularization that replaces ..."），建议拆分为 2–3 句。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结果 §3.5 与讨论 §4.1 内容重复度高："architecture as regularization"的论证两处大段重叠（同一组 +30.9%/−11.5% 数字与定理推导各写一遍），建议结果保留事实陈述、讨论聚焦机制解释与理论联系。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术语一致性：CNN\_Te、Transformer\_ne 等代码式命名建议改为正式表述（如 "the CNN-based Te model"）；"ProfileNet" 与 "SetEncoder" 在文中混用，建议首次出现处统一定义；Ti 在摘要首次出现未给出全称（ion temperature），建议补全。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部分表述强度与证据不匹配："fundamental architectural insight"、"fundamental implications for architecture selection in scientific ML"等措辞较自信，基于单一消融实验（Te、单次训练）下结论宜更审慎。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个别数字表述需核对：正文"six distinct branches"（方法管线）与摘要/结论"seven-step pipeline"并存，建议统一并说明口径；"six-order-of-magnitude speedups"（FNO 引文）需核对原文表述。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标题合理</w:t>
              <w:br/>
              <w:t>性分析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原标题：DeepONet-Based Neural Network for Thomson Scattering Profile Fitting on EAST Tokamak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优点：方法（DeepONet）+ 对象（TS 剖面拟合）+ 装置（EAST）三要素齐全，信息准确、检索友好。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不足：未体现本文两项核心贡献——五架构受控对比与"架构即正则化"的消融发现；"Profile Fitting" 表述偏宽泛，未传达算子学习/受控实验的方法特色。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修改建议（按保留原风格程度排序）：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方案 A：</w:t>
            </w:r>
            <w:r>
              <w:rPr>
                <w:rFonts w:ascii="宋体" w:hAnsi="宋体" w:eastAsia="宋体"/>
                <w:b w:val="0"/>
                <w:sz w:val="21"/>
              </w:rPr>
              <w:t>DeepONet-Based Profile Reconstruction for EAST Thomson Scattering: A Controlled Comparison of Five Neural Architectures with Physics-Constrained Learning（保留原名风格，突出对比与物理约束）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方案 B：</w:t>
            </w:r>
            <w:r>
              <w:rPr>
                <w:rFonts w:ascii="宋体" w:hAnsi="宋体" w:eastAsia="宋体"/>
                <w:b w:val="0"/>
                <w:sz w:val="21"/>
              </w:rPr>
              <w:t>Branch–Trunk Architecture as Structural Regularization: A Systematic Neural Operator Study for Tokamak Kinetic Profile Fitting（突出核心发现，适合 ML 交叉类期刊）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方案 C：</w:t>
            </w:r>
            <w:r>
              <w:rPr>
                <w:rFonts w:ascii="宋体" w:hAnsi="宋体" w:eastAsia="宋体"/>
                <w:b w:val="0"/>
                <w:sz w:val="21"/>
              </w:rPr>
              <w:t>Learning Operators for Tokamak Profile Reconstruction: Five Architectures Benchmarked against the mtanh Baseline on EAST（突出基准对比定位）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摘要内容</w:t>
              <w:br/>
              <w:t>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摘要基本涵盖目的、方法、结果、结论，并给出了关键定量数据（MAE 区间、+30.9%/−11.5%、Ti 0.142→0.082 keV、14 ms、&lt;50 ms），质量较好。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缺训练数据规模信息：建议补充"训练数据来自 2015–2024 年 161 炮放电、约 3400 个样本"一句，支撑方法可信度。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缺与已有方法的定位句：建议增加一句与 GPR（Choi &amp; Poli 2022）、Diag2Diag（2024）等工作的区分，说明本文的独特贡献在于受控架构对比而非概念首创。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第二段信息过载，建议拆分（见语言审查第 1 条）。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结论句可强化工程价值量化："完全自动化、单核推理 &lt;20 ms，面向数千炮级批量处理"等。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引言内容</w:t>
              <w:br/>
              <w:t>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引言"装置背景→mtanh 局限→ML 相关工作→DeepONet 动机→贡献清单"链条完整，六点贡献逐条对应正文内容，无空头承诺。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相关工作仅一句话带过：GPR、Diag2Diag、Lan 三项工作各占半句，建议扩展为一段（或对比表），逐项说明"已有方法做了什么、缺什么"，凸显本文的受控对比与下游验证定位；IDA（Liu et al. 2024, Nucl. Fusion）等贝叶斯方法也应纳入比较视野。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缺明确的研究问题/假设陈述：建议在贡献清单前增加一句可检验的研究问题，如"哪个架构组件（编码器/解码器/损失）决定拟合精度？DeepONet 分支-主干结构能否替代显式物理约束？"——这恰好是本文消融实验回答的问题，前置后论证更聚焦。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"thousands of discharges annually"的数据规模主张需文献或内部数据支撑，否则建议弱化表述。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"six distinct branches" 与 "seven-step pipeline" 口径不一，建议统一（见语言审查第 5 条）。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方法内容</w:t>
              <w:br/>
              <w:t>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方法部分描述详实、可复现性好：数据构造（炮号分层划分、mtanh 标签生成、H98 模式分类）、四共享架构与 CNN 对照组的定义、物理约束损失逐项公式、训练超参数齐全。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损失权重（λ1=0.05、λ2=0.05、λ3=0.01、w_log=0.1，区域加权 3×/25×）的选择依据缺失，建议补充一句超参数确定过程或敏感性分析说明。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输入散点含 NaN/异常值的预处理协议未在方法中说明（讨论中提及"对 NaN 敏感"），建议在 §2.2 明确：训练/推理时 NaN 剔除、通道截断等处理规则。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推理速度测量协议缺失：应注明 CPU 型号、是否含数据搬运与后处理（PCHIP）耗时、重复次数，否则 "~14–19 ms" 不可复现。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mtanh 基线实现细节不足：基线是全部精度指标的参照系，应说明所用版本、IQR 阈值、台基位置（ρ=0.93）等关键参数，便于读者评估参照系质量。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201 点输出网格与 PCHIP 后处理（强制单调+地板值）的交互未说明：PCHIP 是否会改变模型原始输出的误差统计？建议说明指标是在 PCHIP 之前还是之后计算。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结果与讨论</w:t>
              <w:br/>
              <w:t>内容分析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结果部分：</w:t>
            </w:r>
            <w:r>
              <w:rPr>
                <w:rFonts w:ascii="宋体" w:hAnsi="宋体" w:eastAsia="宋体"/>
                <w:b w:val="0"/>
                <w:sz w:val="21"/>
              </w:rPr>
              <w:t>结构完整（拟合精度→H/L 模式→台基→峰值度→消融→LHW），表格规范、观察有据。问题如下：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承诺指标未兑现：正文声称计算 RMSE/MaxAE/MeanRel%，Table 2 仅展示MAE±std；建议补充分模式 MeanRel% 列或附录表，尤其 H/L 对比中绝对 MAE 受 156400 高 Te（最高 7.2 keV）影响，归一化指标更能支撑"相对误差可比"的论断。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图编号管理混乱：源文件名为 fig2/fig4/fig5/fig6/fig7/fig9（fig3、fig8、fig10 删除后未清理），编译后 PDF 虽自动连续编号（Fig 1–7），但投稿上传时易出错，建议重命名源文件并清理 paper_results/figures/ 下的遗留文件（fig7_ablation.png、fig8_architecture_table.png 等未使用文件）。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LHW 案例为单炮（156400），建议明确标注案例性质并弱化外推表述。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讨论部分：</w:t>
            </w:r>
            <w:r>
              <w:rPr>
                <w:rFonts w:ascii="宋体" w:hAnsi="宋体" w:eastAsia="宋体"/>
                <w:b w:val="0"/>
                <w:sz w:val="21"/>
              </w:rPr>
              <w:t>问题如下：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§4.1 与 §3.5 大段重复（见语言审查第 2 条），建议合并或重构：结果给事实、讨论给机制——可深入"为什么主干正则化对稀疏诊断（TXCS 5–15 点）有效而对密集诊断（TS 20–30 点）冗余"的理论解释，并与 GPR 核平滑做类比。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"诊断-架构匹配"论证有力但缺一般性检验：建议在合成数据上控制通道密度/均匀性验证"稀疏性→主干收益"的假设，或作为 future work 明确提出。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6. </w:t>
            </w:r>
            <w:r>
              <w:rPr>
                <w:rFonts w:ascii="宋体" w:hAnsi="宋体" w:eastAsia="宋体"/>
                <w:b w:val="0"/>
                <w:sz w:val="21"/>
              </w:rPr>
              <w:t>未来工作列举 5 条（a–e）偏多，建议聚焦 2–3 条并给出优先级。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结论内容</w:t>
              <w:br/>
              <w:t>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结论五点结构清晰，与贡献清单一一对应。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与摘要重复度高：同一批数字（0.36–0.53 keV、+30.9%、−42%、24%）在摘要、结果、结论出现三次，建议结论减少逐条复述，突出升华——"首次 + 工程价值"（数千炮无人干预处理能力）与"架构即正则化"的一般性启示。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建议补充一句对政策/工程实践的启示（如 EAST 自动化数据流水线的部署路径），提升结论的落点。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图片内容</w:t>
              <w:br/>
              <w:t>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论文共 6 图：Fig 1 架构示意（TikZ 矢量图，已单独绘制）、Fig 2 H 模典型叠加、Fig 4 台基放大、Fig 5 峰值度散点、Fig 6 MAE 箱线图、Fig 7 H/L 对比、Fig 9 LHW 四面板（编译后自动编号 1–7）。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黑白印刷可读性：Fig 2 六条曲线叠加（mtanh+5 架构），Fig 5 散点按炮号着色，Fig 7 柱状图 H/L 分组——PST/FED 等期刊纸质版多为黑白，建议检查线型/填充样式/形状标记的差异化，而非仅靠颜色区分。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Fig 6 箱线图建议在纵轴或图注注明每箱样本量（20 时间点/诊断）。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Fig 9 四面板单位与量级：A/cm² 上标、MW/m³ 等符号在导出 PNG 后清晰度需检查；四面板字体大小应一致。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所有图片已有 300 dpi，符合投稿要求；Fig 1 为矢量 PDF，投稿时注意期刊对 TikZ/PDF 图件的兼容要求（IOP 要求 EPS/PDF，Elsevier 要求 300 dpi 位图或矢量均可）。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遗留文件清理：fig3_lmode_overlay.png、fig10_temporal.png、fig7_ablation.png、fig8_architecture_table.png 等未使用文件建议移出figures 目录，避免投稿误传。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表格内容</w:t>
              <w:br/>
              <w:t>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 xml:space="preserve">Table 1（测试集）: </w:t>
            </w:r>
            <w:r>
              <w:rPr>
                <w:rFonts w:ascii="宋体" w:hAnsi="宋体" w:eastAsia="宋体"/>
                <w:b w:val="0"/>
                <w:sz w:val="21"/>
              </w:rPr>
              <w:t>信息完整，156010 H98=0 的脚注处理得当；建议增加"与训练集时间间隔"一列，凸显测试炮号（2024）与训练数据（至 149600 炮）的独立性与时域泛化意义。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Table 2（拟合精度）: </w:t>
            </w:r>
            <w:r>
              <w:rPr>
                <w:rFonts w:ascii="宋体" w:hAnsi="宋体" w:eastAsia="宋体"/>
                <w:b w:val="0"/>
                <w:sz w:val="21"/>
              </w:rPr>
              <w:t>5 架构×3 诊断×3 模式，信息量大但列数多（7 列），字号偏小时可读性受限；建议：① 补充 MeanRel% 等承诺指标；② "All/H/L"行的最优值粗体标注已做，规范。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Table 3（消融）: </w:t>
            </w:r>
            <w:r>
              <w:rPr>
                <w:rFonts w:ascii="宋体" w:hAnsi="宋体" w:eastAsia="宋体"/>
                <w:b w:val="0"/>
                <w:sz w:val="21"/>
              </w:rPr>
              <w:t>仅 Te 诊断 4 架构；建议标注训练种子/重复次数，如有多种子结果报告均值±std；"improved/degraded" 标注直观。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所有表格均在正文中有明确引用（\ref），符合规范。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参考文献</w:t>
              <w:br/>
              <w:t>内容分析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共 23 篇，对原创研究论文偏少（同类聚变 ML 论文一般 30–45 篇），且存在引用规范问题，需投稿前逐条核对。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1. </w:t>
            </w:r>
            <w:r>
              <w:rPr>
                <w:rFonts w:ascii="宋体" w:hAnsi="宋体" w:eastAsia="宋体"/>
                <w:b w:val="0"/>
                <w:sz w:val="21"/>
              </w:rPr>
              <w:t>LHW 章节（§3.6）全文零引用：LHCD 实验背景（Li et al. 2021, Nucl. Fusion）与参量衰变（Li et al. 2024）两条已定义的 bibitem（lhcd_east、lh_pdi_east）未在正文引用，建议在 §3.6 首段补充。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2. </w:t>
            </w:r>
            <w:r>
              <w:rPr>
                <w:rFonts w:ascii="宋体" w:hAnsi="宋体" w:eastAsia="宋体"/>
                <w:b w:val="0"/>
                <w:sz w:val="21"/>
              </w:rPr>
              <w:t>4 条 bibitem 定义后未在正文引用：ida_east（Bayesian IDA）、lhcd_east、lh_pdi_east、pinn_review——要么在正文相应位置引用（引言相关工作段引用ida_east；损失函数段引用 pinn_review），要么删除条目。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3. </w:t>
            </w:r>
            <w:r>
              <w:rPr>
                <w:rFonts w:ascii="宋体" w:hAnsi="宋体" w:eastAsia="宋体"/>
                <w:b w:val="0"/>
                <w:sz w:val="21"/>
              </w:rPr>
              <w:t>元数据错误（经 CrossRef/OpenAlex 核查发现的已知问题）：gpr_east、diag2diag、lhcd_east 等条目的标题/卷期与数据库记录不匹配；east_overview 2017 与 2019 版本待确认；lan_cnn_east 缺 DOI；pinn_east 作者署名不规范（以机构名代替作者、会议信息不完整）；deeponet_equilibrium 为会议论文（IAEA FEC），需按目标期刊格式规范。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格式统一：投稿前按目标期刊模板重排（PST/PPCF 用 IOP 数字编号格式，FED 用 Elsevier 格式），确保期刊缩写、卷期页码、DOI 齐全，所有引用在正文中均有对应。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期刊推荐内容</w:t>
              <w:br/>
              <w:t>（按求稳+快速</w:t>
              <w:br/>
              <w:t>投稿要求推荐）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以下推荐按"初审 2 个月内、中科院三区/四区可接受、版面费无限制"的投稿要求排序。影响因子与分区为 2024–2025 年度约值，投稿前请在最新 JCR 与中科院文献情报中心《期刊分区表》核实；所荐期刊均不在中科院《国际期刊预警名单》内。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 1：</w:t>
              <w:br/>
              <w:t>Plasma Science and Technology (PST)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影响因子：</w:t>
            </w:r>
            <w:r>
              <w:rPr>
                <w:rFonts w:ascii="宋体" w:hAnsi="宋体" w:eastAsia="宋体"/>
                <w:b w:val="0"/>
                <w:sz w:val="21"/>
              </w:rPr>
              <w:t>约 1.7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中科院分区：</w:t>
            </w:r>
            <w:r>
              <w:rPr>
                <w:rFonts w:ascii="宋体" w:hAnsi="宋体" w:eastAsia="宋体"/>
                <w:b w:val="0"/>
                <w:sz w:val="21"/>
              </w:rPr>
              <w:t>中科院三区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审稿周期：</w:t>
            </w:r>
            <w:r>
              <w:rPr>
                <w:rFonts w:ascii="宋体" w:hAnsi="宋体" w:eastAsia="宋体"/>
                <w:b w:val="0"/>
                <w:sz w:val="21"/>
              </w:rPr>
              <w:t>3–6 周（一审约 1–2 个月）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推荐理由：</w:t>
            </w:r>
            <w:r>
              <w:rPr>
                <w:rFonts w:ascii="宋体" w:hAnsi="宋体" w:eastAsia="宋体"/>
                <w:b w:val="0"/>
                <w:sz w:val="21"/>
              </w:rPr>
              <w:t>ASIPP 主办（IOP 出版），EAST 论文主场；编辑与审稿人熟悉 EAST 诊断语境，对"机器学习 + 聚变"交叉方向接受度好；合作作者臧庆为 EAST TS 诊断资深人员，与期刊读者群高度匹配。混合出版模式，传统订阅投稿无强制版面费。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期刊网址：</w:t>
            </w:r>
            <w:r>
              <w:rPr>
                <w:rFonts w:ascii="宋体" w:hAnsi="宋体" w:eastAsia="宋体"/>
                <w:b w:val="0"/>
                <w:sz w:val="21"/>
              </w:rPr>
              <w:t>https://iopscience.iop.org/journal/1009-0630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 2：</w:t>
              <w:br/>
              <w:t>Fusion Engineering and Design (FED)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影响因子：</w:t>
            </w:r>
            <w:r>
              <w:rPr>
                <w:rFonts w:ascii="宋体" w:hAnsi="宋体" w:eastAsia="宋体"/>
                <w:b w:val="0"/>
                <w:sz w:val="21"/>
              </w:rPr>
              <w:t>约 1.9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中科院分区：</w:t>
            </w:r>
            <w:r>
              <w:rPr>
                <w:rFonts w:ascii="宋体" w:hAnsi="宋体" w:eastAsia="宋体"/>
                <w:b w:val="0"/>
                <w:sz w:val="21"/>
              </w:rPr>
              <w:t>中科院三区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审稿周期：</w:t>
            </w:r>
            <w:r>
              <w:rPr>
                <w:rFonts w:ascii="宋体" w:hAnsi="宋体" w:eastAsia="宋体"/>
                <w:b w:val="0"/>
                <w:sz w:val="21"/>
              </w:rPr>
              <w:t>2–4 周（一审约 2–3 个月）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推荐理由：</w:t>
            </w:r>
            <w:r>
              <w:rPr>
                <w:rFonts w:ascii="宋体" w:hAnsi="宋体" w:eastAsia="宋体"/>
                <w:b w:val="0"/>
                <w:sz w:val="21"/>
              </w:rPr>
              <w:t>Elsevier 出版，偏工程应用导向；本文"端到端管线替代、面向大规模自动化数据处理"的叙事与 FED 定位匹配；EAST TVTS 诊断论文（Zhu et al. 2024）即发表于此。订阅制无强制版面费，可选 OA。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期刊网址：</w:t>
            </w:r>
            <w:r>
              <w:rPr>
                <w:rFonts w:ascii="宋体" w:hAnsi="宋体" w:eastAsia="宋体"/>
                <w:b w:val="0"/>
                <w:sz w:val="21"/>
              </w:rPr>
              <w:t>https://www.sciencedirect.com/journal/fusion-engineering-and-design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 3：</w:t>
              <w:br/>
              <w:t>Plasma Physics and Controlled Fusion (PPCF)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影响因子：</w:t>
            </w:r>
            <w:r>
              <w:rPr>
                <w:rFonts w:ascii="宋体" w:hAnsi="宋体" w:eastAsia="宋体"/>
                <w:b w:val="0"/>
                <w:sz w:val="21"/>
              </w:rPr>
              <w:t>约 2.4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中科院分区：</w:t>
            </w:r>
            <w:r>
              <w:rPr>
                <w:rFonts w:ascii="宋体" w:hAnsi="宋体" w:eastAsia="宋体"/>
                <w:b w:val="0"/>
                <w:sz w:val="21"/>
              </w:rPr>
              <w:t>中科院三区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审稿周期：</w:t>
            </w:r>
            <w:r>
              <w:rPr>
                <w:rFonts w:ascii="宋体" w:hAnsi="宋体" w:eastAsia="宋体"/>
                <w:b w:val="0"/>
                <w:sz w:val="21"/>
              </w:rPr>
              <w:t>3–6 周（一审约 1.5–2.5 个月）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推荐理由：</w:t>
            </w:r>
            <w:r>
              <w:rPr>
                <w:rFonts w:ascii="宋体" w:hAnsi="宋体" w:eastAsia="宋体"/>
                <w:b w:val="0"/>
                <w:sz w:val="21"/>
              </w:rPr>
              <w:t>IOP 出版；同类工作 Lan et al. 2023（CNN/BPNN 从线积分密度重建 EAST 密度剖面）发表于此，证明期刊对聚变诊断 ML 方法论文的接受度；"求稳"区间内影响因子偏高。无强制版面费。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期刊网址：</w:t>
            </w:r>
            <w:r>
              <w:rPr>
                <w:rFonts w:ascii="宋体" w:hAnsi="宋体" w:eastAsia="宋体"/>
                <w:b w:val="0"/>
                <w:sz w:val="21"/>
              </w:rPr>
              <w:t>https://iopscience.iop.org/journal/0741-3335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 4：</w:t>
              <w:br/>
              <w:t>Review of Scientific Instruments (RSI)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影响因子：</w:t>
            </w:r>
            <w:r>
              <w:rPr>
                <w:rFonts w:ascii="宋体" w:hAnsi="宋体" w:eastAsia="宋体"/>
                <w:b w:val="0"/>
                <w:sz w:val="21"/>
              </w:rPr>
              <w:t>约 1.6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中科院分区：</w:t>
            </w:r>
            <w:r>
              <w:rPr>
                <w:rFonts w:ascii="宋体" w:hAnsi="宋体" w:eastAsia="宋体"/>
                <w:b w:val="0"/>
                <w:sz w:val="21"/>
              </w:rPr>
              <w:t>中科院四区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审稿周期：</w:t>
            </w:r>
            <w:r>
              <w:rPr>
                <w:rFonts w:ascii="宋体" w:hAnsi="宋体" w:eastAsia="宋体"/>
                <w:b w:val="0"/>
                <w:sz w:val="21"/>
              </w:rPr>
              <w:t>2–4 周（一审约 1–2 个月）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推荐理由：</w:t>
            </w:r>
            <w:r>
              <w:rPr>
                <w:rFonts w:ascii="宋体" w:hAnsi="宋体" w:eastAsia="宋体"/>
                <w:b w:val="0"/>
                <w:sz w:val="21"/>
              </w:rPr>
              <w:t>AIP 出版，审稿效率以快著称；诊断数据处理与自动化工具类论文契合；EAST TS 诊断论文（Zang et al. 2011）发表于此。订阅制无强制版面费，OA 可选。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期刊网址：</w:t>
            </w:r>
            <w:r>
              <w:rPr>
                <w:rFonts w:ascii="宋体" w:hAnsi="宋体" w:eastAsia="宋体"/>
                <w:b w:val="0"/>
                <w:sz w:val="21"/>
              </w:rPr>
              <w:t>https://pubs.aip.org/aip/rsi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 5：</w:t>
              <w:br/>
              <w:t>Journal of Instrumentation (JINST)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影响因子：</w:t>
            </w:r>
            <w:r>
              <w:rPr>
                <w:rFonts w:ascii="宋体" w:hAnsi="宋体" w:eastAsia="宋体"/>
                <w:b w:val="0"/>
                <w:sz w:val="21"/>
              </w:rPr>
              <w:t>约 1.3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中科院分区：</w:t>
            </w:r>
            <w:r>
              <w:rPr>
                <w:rFonts w:ascii="宋体" w:hAnsi="宋体" w:eastAsia="宋体"/>
                <w:b w:val="0"/>
                <w:sz w:val="21"/>
              </w:rPr>
              <w:t>中科院四区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审稿周期：</w:t>
            </w:r>
            <w:r>
              <w:rPr>
                <w:rFonts w:ascii="宋体" w:hAnsi="宋体" w:eastAsia="宋体"/>
                <w:b w:val="0"/>
                <w:sz w:val="21"/>
              </w:rPr>
              <w:t>3–5 周（一审约 1–2 个月）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推荐理由：</w:t>
            </w:r>
            <w:r>
              <w:rPr>
                <w:rFonts w:ascii="宋体" w:hAnsi="宋体" w:eastAsia="宋体"/>
                <w:b w:val="0"/>
                <w:sz w:val="21"/>
              </w:rPr>
              <w:t>IOP/SISSA 出版，聚变与高能物理仪器、数据处理方法专门期刊，方法论型论文友好。无强制版面费。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期刊网址：</w:t>
            </w:r>
            <w:r>
              <w:rPr>
                <w:rFonts w:ascii="宋体" w:hAnsi="宋体" w:eastAsia="宋体"/>
                <w:b w:val="0"/>
                <w:sz w:val="21"/>
              </w:rPr>
              <w:t>https://iopscience.iop.org/journal/1748-0221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推荐 6：</w:t>
              <w:br/>
              <w:t>Scientific Reports</w:t>
            </w:r>
          </w:p>
        </w:tc>
        <w:tc>
          <w:tcPr>
            <w:tcW w:type="dxa" w:w="7824"/>
          </w:tcPr>
          <w:p>
            <w:pPr>
              <w:spacing w:after="80"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影响因子：</w:t>
            </w:r>
            <w:r>
              <w:rPr>
                <w:rFonts w:ascii="宋体" w:hAnsi="宋体" w:eastAsia="宋体"/>
                <w:b w:val="0"/>
                <w:sz w:val="21"/>
              </w:rPr>
              <w:t>约 3.9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中科院分区：</w:t>
            </w:r>
            <w:r>
              <w:rPr>
                <w:rFonts w:ascii="宋体" w:hAnsi="宋体" w:eastAsia="宋体"/>
                <w:b w:val="0"/>
                <w:sz w:val="21"/>
              </w:rPr>
              <w:t>中科院三区（综合）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审稿周期：</w:t>
            </w:r>
            <w:r>
              <w:rPr>
                <w:rFonts w:ascii="宋体" w:hAnsi="宋体" w:eastAsia="宋体"/>
                <w:b w:val="0"/>
                <w:sz w:val="21"/>
              </w:rPr>
              <w:t>2–3 周（一审约 2–3 个月）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推荐理由：</w:t>
            </w:r>
            <w:r>
              <w:rPr>
                <w:rFonts w:ascii="宋体" w:hAnsi="宋体" w:eastAsia="宋体"/>
                <w:b w:val="0"/>
                <w:sz w:val="21"/>
              </w:rPr>
              <w:t>Springer Nature 出版，审稿快、录用相对宽松，为时间紧张时的兜底通道；注意：强制 OA 版面费（约 $2,590），且聚变领域认可度一般。</w:t>
            </w:r>
          </w:p>
          <w:p>
            <w:pPr>
              <w:spacing w:after="80" w:line="288" w:lineRule="auto"/>
            </w:pPr>
            <w:r>
              <w:rPr>
                <w:rFonts w:ascii="宋体" w:hAnsi="宋体" w:eastAsia="宋体"/>
                <w:b/>
                <w:sz w:val="21"/>
              </w:rPr>
              <w:t>期刊网址：</w:t>
            </w:r>
            <w:r>
              <w:rPr>
                <w:rFonts w:ascii="宋体" w:hAnsi="宋体" w:eastAsia="宋体"/>
                <w:b w:val="0"/>
                <w:sz w:val="21"/>
              </w:rPr>
              <w:t>https://www.nature.com/srep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