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прохождения</w:t>
      </w:r>
      <w:r>
        <w:t xml:space="preserve"> </w:t>
      </w:r>
      <w:r>
        <w:t xml:space="preserve">внешнего</w:t>
      </w:r>
      <w:r>
        <w:t xml:space="preserve"> </w:t>
      </w:r>
      <w:r>
        <w:t xml:space="preserve">курса</w:t>
      </w:r>
    </w:p>
    <w:p>
      <w:pPr>
        <w:pStyle w:val="Subtitle"/>
      </w:pPr>
      <w:r>
        <w:t xml:space="preserve">Безопасность</w:t>
      </w:r>
      <w:r>
        <w:t xml:space="preserve"> </w:t>
      </w:r>
      <w:r>
        <w:t xml:space="preserve">в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Криптография</w:t>
      </w:r>
      <w:r>
        <w:t xml:space="preserve"> </w:t>
      </w:r>
      <w:r>
        <w:t xml:space="preserve">на</w:t>
      </w:r>
      <w:r>
        <w:t xml:space="preserve"> </w:t>
      </w:r>
      <w:r>
        <w:t xml:space="preserve">практике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Провести контроль усвоения теоритического материала раздела</w:t>
      </w:r>
      <w:r>
        <w:t xml:space="preserve"> </w:t>
      </w:r>
      <w:r>
        <w:t xml:space="preserve">“</w:t>
      </w:r>
      <w:r>
        <w:t xml:space="preserve">Криптография на практике</w:t>
      </w:r>
      <w:r>
        <w:t xml:space="preserve">”</w:t>
      </w:r>
    </w:p>
    <w:bookmarkEnd w:id="20"/>
    <w:bookmarkStart w:id="69" w:name="выполнение-контрольных-заданий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контрольных заданий</w:t>
      </w:r>
    </w:p>
    <w:p>
      <w:pPr>
        <w:pStyle w:val="FirstParagraph"/>
      </w:pPr>
      <w:r>
        <w:t xml:space="preserve">В асимметричной криптографии, также известной как криптография с открытым ключом, каждая сторона обладает парой ключей: открытым и закрытым (или секретным). Открытый ключ доступен для общего использования, в то время как закрытый ключ хранится конфиденциально у владельца. К протоколам асимметричной криптографии относятся электронно-цифровая подпись и протокол генерации общего ключа. Последний позволяет установить общий секретный ключ без необходимости физического взаимодействия между сторонами.(рис. 1).</w:t>
      </w:r>
    </w:p>
    <w:p>
      <w:pPr>
        <w:pStyle w:val="CaptionedFigure"/>
      </w:pPr>
      <w:r>
        <w:drawing>
          <wp:inline>
            <wp:extent cx="3733800" cy="1535653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5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p>
      <w:pPr>
        <w:pStyle w:val="BodyText"/>
      </w:pPr>
      <w:r>
        <w:t xml:space="preserve">Криптографическая хэш-функция, эффективно вычисляется, дает на выходе фиксированное число бит независимо от объема входных данных, но главное она стойкая к колизиям. Это значит что двое разных входных данных не могут дать один выходной(рис. 2).</w:t>
      </w:r>
    </w:p>
    <w:p>
      <w:pPr>
        <w:pStyle w:val="CaptionedFigure"/>
      </w:pPr>
      <w:r>
        <w:drawing>
          <wp:inline>
            <wp:extent cx="3733800" cy="181356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image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3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p>
      <w:pPr>
        <w:pStyle w:val="BodyText"/>
      </w:pPr>
      <w:r>
        <w:t xml:space="preserve">К ним относятся именно RSA, ECDSA, ГОСТ Р 34.10-2012, остальные отношения не имеют(рис. 3).</w:t>
      </w:r>
    </w:p>
    <w:p>
      <w:pPr>
        <w:pStyle w:val="CaptionedFigure"/>
      </w:pPr>
      <w:r>
        <w:drawing>
          <wp:inline>
            <wp:extent cx="3733800" cy="1882469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image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p>
      <w:pPr>
        <w:pStyle w:val="BodyText"/>
      </w:pPr>
      <w:r>
        <w:t xml:space="preserve">Этот процесс также является симметричным и использует ключ (который должен быть отличным от ключа, использованного для шифрования) и само сообщение для создания кода аутентификации. Этот примитив можно представить как симметричный аналог подписи. Обычно код аутентификации сообщения создается с использованием хэш-функции или симметричного шифрования.(рис. 4).</w:t>
      </w:r>
    </w:p>
    <w:p>
      <w:pPr>
        <w:pStyle w:val="CaptionedFigure"/>
      </w:pPr>
      <w:r>
        <w:drawing>
          <wp:inline>
            <wp:extent cx="3733800" cy="1305980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image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4</w:t>
      </w:r>
    </w:p>
    <w:p>
      <w:pPr>
        <w:pStyle w:val="BodyText"/>
      </w:pPr>
      <w:r>
        <w:t xml:space="preserve">Обмен ключам Диффи-Хэллмана - это асимметричный примитив генерации общего секретного ключа(рис. 5).</w:t>
      </w:r>
    </w:p>
    <w:p>
      <w:pPr>
        <w:pStyle w:val="CaptionedFigure"/>
      </w:pPr>
      <w:r>
        <w:drawing>
          <wp:inline>
            <wp:extent cx="3733800" cy="1601837"/>
            <wp:effectExtent b="0" l="0" r="0" t="0"/>
            <wp:docPr descr="Задание 5" title="" id="34" name="Picture"/>
            <a:graphic>
              <a:graphicData uri="http://schemas.openxmlformats.org/drawingml/2006/picture">
                <pic:pic>
                  <pic:nvPicPr>
                    <pic:cNvPr descr="image/image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5</w:t>
      </w:r>
    </w:p>
    <w:p>
      <w:pPr>
        <w:pStyle w:val="BodyText"/>
      </w:pPr>
      <w:r>
        <w:t xml:space="preserve">Конечно же к протоколам с публичным(открытым ключом)(рис. 6).</w:t>
      </w:r>
    </w:p>
    <w:p>
      <w:pPr>
        <w:pStyle w:val="CaptionedFigure"/>
      </w:pPr>
      <w:r>
        <w:drawing>
          <wp:inline>
            <wp:extent cx="3733800" cy="1407918"/>
            <wp:effectExtent b="0" l="0" r="0" t="0"/>
            <wp:docPr descr="Задание 6" title="" id="37" name="Picture"/>
            <a:graphic>
              <a:graphicData uri="http://schemas.openxmlformats.org/drawingml/2006/picture">
                <pic:pic>
                  <pic:nvPicPr>
                    <pic:cNvPr descr="image/image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79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6</w:t>
      </w:r>
    </w:p>
    <w:p>
      <w:pPr>
        <w:pStyle w:val="BodyText"/>
      </w:pPr>
      <w:r>
        <w:t xml:space="preserve">НАм в первую очередь нужна сама подпись, потом открытый ключ(никак не секретный) и потом также сообщение. ТОлько так пройдёт верификация (рис. 7).</w:t>
      </w:r>
    </w:p>
    <w:p>
      <w:pPr>
        <w:pStyle w:val="CaptionedFigure"/>
      </w:pPr>
      <w:r>
        <w:drawing>
          <wp:inline>
            <wp:extent cx="3733800" cy="1573610"/>
            <wp:effectExtent b="0" l="0" r="0" t="0"/>
            <wp:docPr descr="Задание 7" title="" id="40" name="Picture"/>
            <a:graphic>
              <a:graphicData uri="http://schemas.openxmlformats.org/drawingml/2006/picture">
                <pic:pic>
                  <pic:nvPicPr>
                    <pic:cNvPr descr="image/image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3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7</w:t>
      </w:r>
    </w:p>
    <w:p>
      <w:pPr>
        <w:pStyle w:val="BodyText"/>
      </w:pPr>
      <w:r>
        <w:t xml:space="preserve">Конечно конфиденциальность. Это же подпись. ОНа указывает на человека, которому принадлежит(рис. 8).</w:t>
      </w:r>
    </w:p>
    <w:p>
      <w:pPr>
        <w:pStyle w:val="CaptionedFigure"/>
      </w:pPr>
      <w:r>
        <w:drawing>
          <wp:inline>
            <wp:extent cx="3733800" cy="1563654"/>
            <wp:effectExtent b="0" l="0" r="0" t="0"/>
            <wp:docPr descr="Задание 8" title="" id="43" name="Picture"/>
            <a:graphic>
              <a:graphicData uri="http://schemas.openxmlformats.org/drawingml/2006/picture">
                <pic:pic>
                  <pic:nvPicPr>
                    <pic:cNvPr descr="image/image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3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8</w:t>
      </w:r>
    </w:p>
    <w:p>
      <w:pPr>
        <w:pStyle w:val="BodyText"/>
      </w:pPr>
      <w:r>
        <w:t xml:space="preserve">Только усиленная квалифицированная. Это касается серьёзных документов. Никакая другая не подойдёт (рис. 9).</w:t>
      </w:r>
    </w:p>
    <w:p>
      <w:pPr>
        <w:pStyle w:val="CaptionedFigure"/>
      </w:pPr>
      <w:r>
        <w:drawing>
          <wp:inline>
            <wp:extent cx="3733800" cy="1447626"/>
            <wp:effectExtent b="0" l="0" r="0" t="0"/>
            <wp:docPr descr="Задание 9" title="" id="46" name="Picture"/>
            <a:graphic>
              <a:graphicData uri="http://schemas.openxmlformats.org/drawingml/2006/picture">
                <pic:pic>
                  <pic:nvPicPr>
                    <pic:cNvPr descr="image/image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7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9</w:t>
      </w:r>
    </w:p>
    <w:p>
      <w:pPr>
        <w:pStyle w:val="BodyText"/>
      </w:pPr>
      <w:r>
        <w:t xml:space="preserve">Только в удостоверяющем, сертификационном центре. Иные организации таких полномочий не имеют.(рис. 10).</w:t>
      </w:r>
    </w:p>
    <w:p>
      <w:pPr>
        <w:pStyle w:val="CaptionedFigure"/>
      </w:pPr>
      <w:r>
        <w:drawing>
          <wp:inline>
            <wp:extent cx="3733800" cy="1574250"/>
            <wp:effectExtent b="0" l="0" r="0" t="0"/>
            <wp:docPr descr="Задание 10" title="" id="49" name="Picture"/>
            <a:graphic>
              <a:graphicData uri="http://schemas.openxmlformats.org/drawingml/2006/picture">
                <pic:pic>
                  <pic:nvPicPr>
                    <pic:cNvPr descr="image/image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4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10</w:t>
      </w:r>
    </w:p>
    <w:p>
      <w:pPr>
        <w:pStyle w:val="BodyText"/>
      </w:pPr>
      <w:r>
        <w:t xml:space="preserve">Мастеркарт и мир. Биткоин это валюта, банкомат - усстройство, выдающее и принимающе деньги.(рис. 11).</w:t>
      </w:r>
    </w:p>
    <w:p>
      <w:pPr>
        <w:pStyle w:val="CaptionedFigure"/>
      </w:pPr>
      <w:r>
        <w:drawing>
          <wp:inline>
            <wp:extent cx="3733800" cy="1761922"/>
            <wp:effectExtent b="0" l="0" r="0" t="0"/>
            <wp:docPr descr="Задание 11" title="" id="52" name="Picture"/>
            <a:graphic>
              <a:graphicData uri="http://schemas.openxmlformats.org/drawingml/2006/picture">
                <pic:pic>
                  <pic:nvPicPr>
                    <pic:cNvPr descr="image/image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11</w:t>
      </w:r>
    </w:p>
    <w:p>
      <w:pPr>
        <w:pStyle w:val="BodyText"/>
      </w:pPr>
      <w:r>
        <w:t xml:space="preserve">Нам нужны доказательства из разных категорий. Минимум две. В эти категории входят наша биометрия, то что мы знаем(пароль) и то что имеем (наприер телефон). Пароль и капча таковыми не являются, капча это вообще защита от автоматических атак, ну и пин код с паролем тоже из одной категории(рис. 12).</w:t>
      </w:r>
    </w:p>
    <w:p>
      <w:pPr>
        <w:pStyle w:val="CaptionedFigure"/>
      </w:pPr>
      <w:r>
        <w:drawing>
          <wp:inline>
            <wp:extent cx="3733800" cy="1805853"/>
            <wp:effectExtent b="0" l="0" r="0" t="0"/>
            <wp:docPr descr="Задание 12" title="" id="55" name="Picture"/>
            <a:graphic>
              <a:graphicData uri="http://schemas.openxmlformats.org/drawingml/2006/picture">
                <pic:pic>
                  <pic:nvPicPr>
                    <pic:cNvPr descr="image/image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5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12</w:t>
      </w:r>
    </w:p>
    <w:p>
      <w:pPr>
        <w:pStyle w:val="BodyText"/>
      </w:pPr>
      <w:r>
        <w:t xml:space="preserve">При онлайн платежах сегодня используется многофакторная аутентификация покупателя перед банком-эмитентом(рис. 13).</w:t>
      </w:r>
    </w:p>
    <w:p>
      <w:pPr>
        <w:pStyle w:val="CaptionedFigure"/>
      </w:pPr>
      <w:r>
        <w:drawing>
          <wp:inline>
            <wp:extent cx="3733800" cy="1601008"/>
            <wp:effectExtent b="0" l="0" r="0" t="0"/>
            <wp:docPr descr="Задание 13" title="" id="58" name="Picture"/>
            <a:graphic>
              <a:graphicData uri="http://schemas.openxmlformats.org/drawingml/2006/picture">
                <pic:pic>
                  <pic:nvPicPr>
                    <pic:cNvPr descr="image/image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0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13</w:t>
      </w:r>
    </w:p>
    <w:p>
      <w:pPr>
        <w:pStyle w:val="BodyText"/>
      </w:pPr>
      <w:r>
        <w:t xml:space="preserve">СЛожность нахождения прообраза конечно же. Это очень важное свойствр(рис. 14).</w:t>
      </w:r>
    </w:p>
    <w:p>
      <w:pPr>
        <w:pStyle w:val="CaptionedFigure"/>
      </w:pPr>
      <w:r>
        <w:drawing>
          <wp:inline>
            <wp:extent cx="3733800" cy="1585586"/>
            <wp:effectExtent b="0" l="0" r="0" t="0"/>
            <wp:docPr descr="Задание 14" title="" id="61" name="Picture"/>
            <a:graphic>
              <a:graphicData uri="http://schemas.openxmlformats.org/drawingml/2006/picture">
                <pic:pic>
                  <pic:nvPicPr>
                    <pic:cNvPr descr="image/image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14</w:t>
      </w:r>
    </w:p>
    <w:p>
      <w:pPr>
        <w:pStyle w:val="BodyText"/>
      </w:pPr>
      <w:r>
        <w:t xml:space="preserve">Снова задание с подвохом. ЗДесь подходят все варианты. Об этом говорилось в лекции(рис. 15).</w:t>
      </w:r>
    </w:p>
    <w:p>
      <w:pPr>
        <w:pStyle w:val="CaptionedFigure"/>
      </w:pPr>
      <w:r>
        <w:drawing>
          <wp:inline>
            <wp:extent cx="3733800" cy="1816598"/>
            <wp:effectExtent b="0" l="0" r="0" t="0"/>
            <wp:docPr descr="Задание 15" title="" id="64" name="Picture"/>
            <a:graphic>
              <a:graphicData uri="http://schemas.openxmlformats.org/drawingml/2006/picture">
                <pic:pic>
                  <pic:nvPicPr>
                    <pic:cNvPr descr="image/image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16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15</w:t>
      </w:r>
    </w:p>
    <w:p>
      <w:pPr>
        <w:pStyle w:val="BodyText"/>
      </w:pPr>
      <w:r>
        <w:t xml:space="preserve">(рис. 16).</w:t>
      </w:r>
    </w:p>
    <w:p>
      <w:pPr>
        <w:pStyle w:val="CaptionedFigure"/>
      </w:pPr>
      <w:r>
        <w:drawing>
          <wp:inline>
            <wp:extent cx="3733800" cy="1549555"/>
            <wp:effectExtent b="0" l="0" r="0" t="0"/>
            <wp:docPr descr="Задание 16" title="" id="67" name="Picture"/>
            <a:graphic>
              <a:graphicData uri="http://schemas.openxmlformats.org/drawingml/2006/picture">
                <pic:pic>
                  <pic:nvPicPr>
                    <pic:cNvPr descr="image/image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9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Задание 16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успешно прошли контроль усвоения теоритического материала раздела</w:t>
      </w:r>
      <w:r>
        <w:t xml:space="preserve"> </w:t>
      </w:r>
      <w:r>
        <w:t xml:space="preserve">“</w:t>
      </w:r>
      <w:r>
        <w:t xml:space="preserve">Криптография на практике</w:t>
      </w:r>
      <w:r>
        <w:t xml:space="preserve">”</w:t>
      </w:r>
    </w:p>
    <w:bookmarkEnd w:id="70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прохождения внешнего курса</dc:title>
  <dc:creator>Криптография на практике</dc:creator>
  <dc:language>ru-RU</dc:language>
  <cp:keywords/>
  <dcterms:created xsi:type="dcterms:W3CDTF">2024-05-18T20:05:45Z</dcterms:created>
  <dcterms:modified xsi:type="dcterms:W3CDTF">2024-05-18T20:05:45Z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Безопасность в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