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TOCHeading"/>
            <w:rPr/>
          </w:pPr>
          <w:bookmarkStart w:id="0" w:name="_Toc1367610133"/>
          <w:bookmarkStart w:id="1" w:name="_Toc1517617528"/>
          <w:r>
            <w:rPr>
              <w:rStyle w:val="Heading2Char"/>
            </w:rPr>
            <w:t>Table of Contents</w:t>
          </w:r>
          <w:bookmarkEnd w:id="0"/>
          <w:bookmarkEnd w:id="1"/>
        </w:p>
        <w:p>
          <w:pPr>
            <w:pStyle w:val="Contents2"/>
            <w:rPr>
              <w:rFonts w:eastAsia="" w:eastAsiaTheme="minorEastAsia"/>
              <w:sz w:val="24"/>
              <w:szCs w:val="24"/>
            </w:rPr>
          </w:pPr>
          <w:r>
            <w:fldChar w:fldCharType="begin"/>
          </w:r>
          <w:r>
            <w:rPr>
              <w:webHidden/>
              <w:rStyle w:val="IndexLink"/>
            </w:rPr>
            <w:instrText> TOC \z \o "1-3" \u \h</w:instrText>
          </w:r>
          <w:r>
            <w:rPr>
              <w:webHidden/>
              <w:rStyle w:val="IndexLink"/>
            </w:rPr>
            <w:fldChar w:fldCharType="separate"/>
          </w:r>
          <w:hyperlink w:anchor="_Toc102040754">
            <w:r>
              <w:rPr>
                <w:webHidden/>
                <w:rStyle w:val="IndexLink"/>
              </w:rPr>
              <w:t>Document Revision History</w:t>
            </w:r>
            <w:r>
              <w:rPr>
                <w:webHidden/>
              </w:rPr>
              <w:fldChar w:fldCharType="begin"/>
            </w:r>
            <w:r>
              <w:rPr>
                <w:webHidden/>
              </w:rPr>
              <w:instrText>PAGEREF _Toc102040754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5">
            <w:r>
              <w:rPr>
                <w:webHidden/>
                <w:rStyle w:val="IndexLink"/>
              </w:rPr>
              <w:t>Client</w:t>
            </w:r>
            <w:r>
              <w:rPr>
                <w:webHidden/>
              </w:rPr>
              <w:fldChar w:fldCharType="begin"/>
            </w:r>
            <w:r>
              <w:rPr>
                <w:webHidden/>
              </w:rPr>
              <w:instrText>PAGEREF _Toc102040755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6">
            <w:r>
              <w:rPr>
                <w:webHidden/>
                <w:rStyle w:val="IndexLink"/>
              </w:rPr>
              <w:t>Instructions</w:t>
            </w:r>
            <w:r>
              <w:rPr>
                <w:webHidden/>
              </w:rPr>
              <w:fldChar w:fldCharType="begin"/>
            </w:r>
            <w:r>
              <w:rPr>
                <w:webHidden/>
              </w:rPr>
              <w:instrText>PAGEREF _Toc102040756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7">
            <w:r>
              <w:rPr>
                <w:webHidden/>
                <w:rStyle w:val="IndexLink"/>
              </w:rPr>
              <w:t>Developer</w:t>
            </w:r>
            <w:r>
              <w:rPr>
                <w:webHidden/>
              </w:rPr>
              <w:fldChar w:fldCharType="begin"/>
            </w:r>
            <w:r>
              <w:rPr>
                <w:webHidden/>
              </w:rPr>
              <w:instrText>PAGEREF _Toc102040757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58">
            <w:r>
              <w:rPr>
                <w:webHidden/>
                <w:rStyle w:val="IndexLink"/>
              </w:rPr>
              <w:t>1. Algorithm Cipher</w:t>
            </w:r>
            <w:r>
              <w:rPr>
                <w:webHidden/>
              </w:rPr>
              <w:fldChar w:fldCharType="begin"/>
            </w:r>
            <w:r>
              <w:rPr>
                <w:webHidden/>
              </w:rPr>
              <w:instrText>PAGEREF _Toc102040758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59">
            <w:r>
              <w:rPr>
                <w:webHidden/>
                <w:rStyle w:val="IndexLink"/>
              </w:rPr>
              <w:t>2. Certificate Generation</w:t>
            </w:r>
            <w:r>
              <w:rPr>
                <w:webHidden/>
              </w:rPr>
              <w:fldChar w:fldCharType="begin"/>
            </w:r>
            <w:r>
              <w:rPr>
                <w:webHidden/>
              </w:rPr>
              <w:instrText>PAGEREF _Toc102040759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0">
            <w:r>
              <w:rPr>
                <w:webHidden/>
                <w:rStyle w:val="IndexLink"/>
              </w:rPr>
              <w:t>3. Deploy Cipher</w:t>
            </w:r>
            <w:r>
              <w:rPr>
                <w:webHidden/>
              </w:rPr>
              <w:fldChar w:fldCharType="begin"/>
            </w:r>
            <w:r>
              <w:rPr>
                <w:webHidden/>
              </w:rPr>
              <w:instrText>PAGEREF _Toc102040760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1">
            <w:r>
              <w:rPr>
                <w:webHidden/>
                <w:rStyle w:val="IndexLink"/>
              </w:rPr>
              <w:t>4. Secure Communications</w:t>
            </w:r>
            <w:r>
              <w:rPr>
                <w:webHidden/>
              </w:rPr>
              <w:fldChar w:fldCharType="begin"/>
            </w:r>
            <w:r>
              <w:rPr>
                <w:webHidden/>
              </w:rPr>
              <w:instrText>PAGEREF _Toc102040761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2">
            <w:r>
              <w:rPr>
                <w:webHidden/>
                <w:rStyle w:val="IndexLink"/>
              </w:rPr>
              <w:t>5. Secondary Testing</w:t>
            </w:r>
            <w:r>
              <w:rPr>
                <w:webHidden/>
              </w:rPr>
              <w:fldChar w:fldCharType="begin"/>
            </w:r>
            <w:r>
              <w:rPr>
                <w:webHidden/>
              </w:rPr>
              <w:instrText>PAGEREF _Toc102040762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3">
            <w:r>
              <w:rPr>
                <w:webHidden/>
                <w:rStyle w:val="IndexLink"/>
              </w:rPr>
              <w:t>6. Functional Testing</w:t>
            </w:r>
            <w:r>
              <w:rPr>
                <w:webHidden/>
              </w:rPr>
              <w:fldChar w:fldCharType="begin"/>
            </w:r>
            <w:r>
              <w:rPr>
                <w:webHidden/>
              </w:rPr>
              <w:instrText>PAGEREF _Toc102040763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4">
            <w:r>
              <w:rPr>
                <w:webHidden/>
                <w:rStyle w:val="IndexLink"/>
              </w:rPr>
              <w:t>7. Summary</w:t>
            </w:r>
            <w:r>
              <w:rPr>
                <w:webHidden/>
              </w:rPr>
              <w:fldChar w:fldCharType="begin"/>
            </w:r>
            <w:r>
              <w:rPr>
                <w:webHidden/>
              </w:rPr>
              <w:instrText>PAGEREF _Toc102040764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5">
            <w:r>
              <w:rPr>
                <w:webHidden/>
                <w:rStyle w:val="IndexLink"/>
              </w:rPr>
              <w:t>8. Industry Standard Best Practices</w:t>
            </w:r>
            <w:r>
              <w:rPr>
                <w:webHidden/>
              </w:rPr>
              <w:fldChar w:fldCharType="begin"/>
            </w:r>
            <w:r>
              <w:rPr>
                <w:webHidden/>
              </w:rPr>
              <w:instrText>PAGEREF _Toc102040765 \h</w:instrText>
            </w:r>
            <w:r>
              <w:rPr>
                <w:webHidden/>
              </w:rPr>
              <w:fldChar w:fldCharType="separate"/>
            </w:r>
            <w:r>
              <w:rPr>
                <w:rStyle w:val="IndexLink"/>
                <w:vanish w:val="false"/>
              </w:rPr>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Heading2"/>
        <w:rPr/>
      </w:pPr>
      <w:bookmarkStart w:id="2" w:name="_Toc102040754"/>
      <w:bookmarkStart w:id="3" w:name="_Toc1600266130"/>
      <w:bookmarkStart w:id="4" w:name="_Toc1108781792"/>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CellMar>
          <w:top w:w="0" w:type="dxa"/>
          <w:left w:w="115" w:type="dxa"/>
          <w:bottom w:w="0" w:type="dxa"/>
          <w:right w:w="115" w:type="dxa"/>
        </w:tblCellMar>
        <w:tblLook w:firstRow="1" w:noVBand="1" w:lastRow="0" w:firstColumn="1" w:lastColumn="0" w:noHBand="0" w:val="04a0"/>
      </w:tblPr>
      <w:tblGrid>
        <w:gridCol w:w="2337"/>
        <w:gridCol w:w="2337"/>
        <w:gridCol w:w="2336"/>
        <w:gridCol w:w="2339"/>
      </w:tblGrid>
      <w:tr>
        <w:trPr>
          <w:tblHeader w:val="true"/>
        </w:trPr>
        <w:tc>
          <w:tcPr>
            <w:tcW w:w="2337"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t>Version</w:t>
            </w:r>
          </w:p>
        </w:tc>
        <w:tc>
          <w:tcPr>
            <w:tcW w:w="2337"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t>Date</w:t>
            </w:r>
          </w:p>
        </w:tc>
        <w:tc>
          <w:tcPr>
            <w:tcW w:w="2336"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t>Author</w:t>
            </w:r>
          </w:p>
        </w:tc>
        <w:tc>
          <w:tcPr>
            <w:tcW w:w="2339"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t>Comments</w:t>
            </w:r>
          </w:p>
        </w:tc>
      </w:tr>
      <w:tr>
        <w:trPr>
          <w:tblHeader w:val="true"/>
        </w:trPr>
        <w:tc>
          <w:tcPr>
            <w:tcW w:w="2337"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t>1.0</w:t>
            </w:r>
          </w:p>
        </w:tc>
        <w:tc>
          <w:tcPr>
            <w:tcW w:w="2337" w:type="dxa"/>
            <w:tcBorders/>
            <w:shd w:fill="auto" w:val="clear"/>
          </w:tcPr>
          <w:p>
            <w:pPr>
              <w:pStyle w:val="Normal"/>
              <w:spacing w:before="0" w:after="0"/>
              <w:contextualSpacing/>
              <w:jc w:val="center"/>
              <w:rPr/>
            </w:pPr>
            <w:r>
              <w:rPr>
                <w:rFonts w:eastAsia="Times New Roman" w:cs="Calibri" w:cstheme="minorHAnsi"/>
                <w:b/>
                <w:bCs/>
                <w:sz w:val="22"/>
                <w:szCs w:val="22"/>
              </w:rPr>
              <w:t>06/22/25</w:t>
            </w:r>
          </w:p>
        </w:tc>
        <w:tc>
          <w:tcPr>
            <w:tcW w:w="2336" w:type="dxa"/>
            <w:tcBorders/>
            <w:shd w:fill="auto" w:val="clear"/>
          </w:tcPr>
          <w:p>
            <w:pPr>
              <w:pStyle w:val="Normal"/>
              <w:spacing w:before="0" w:after="0"/>
              <w:contextualSpacing/>
              <w:jc w:val="center"/>
              <w:rPr/>
            </w:pPr>
            <w:r>
              <w:rPr>
                <w:rFonts w:eastAsia="Times New Roman" w:cs="Calibri" w:cstheme="minorHAnsi"/>
                <w:b/>
                <w:bCs/>
                <w:sz w:val="22"/>
                <w:szCs w:val="22"/>
              </w:rPr>
              <w:t>Donovan Taylor</w:t>
            </w:r>
          </w:p>
        </w:tc>
        <w:tc>
          <w:tcPr>
            <w:tcW w:w="2339" w:type="dxa"/>
            <w:tcBorders/>
            <w:shd w:fill="auto" w:val="clear"/>
          </w:tcPr>
          <w:p>
            <w:pPr>
              <w:pStyle w:val="Normal"/>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r>
          </w:p>
        </w:tc>
      </w:tr>
    </w:tbl>
    <w:p>
      <w:pPr>
        <w:pStyle w:val="Normal"/>
        <w:spacing w:before="0" w:after="0"/>
        <w:contextualSpacing/>
        <w:rPr/>
      </w:pPr>
      <w:r>
        <w:rPr/>
      </w:r>
    </w:p>
    <w:p>
      <w:pPr>
        <w:pStyle w:val="Heading2"/>
        <w:rPr/>
      </w:pPr>
      <w:bookmarkStart w:id="5" w:name="_Toc102040755"/>
      <w:bookmarkStart w:id="6" w:name="_Toc47419814"/>
      <w:bookmarkStart w:id="7" w:name="_Toc1537514150"/>
      <w:bookmarkStart w:id="8" w:name="_Toc31614994"/>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highlight w:val="white"/>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102040756"/>
      <w:bookmarkStart w:id="10" w:name="_Toc1695397086"/>
      <w:bookmarkStart w:id="11" w:name="_Toc500761898"/>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02040757"/>
      <w:bookmarkStart w:id="13" w:name="_Toc770945630"/>
      <w:bookmarkStart w:id="14" w:name="_Toc1709846648"/>
      <w:r>
        <w:rPr/>
        <w:t>Developer</w:t>
      </w:r>
      <w:bookmarkEnd w:id="12"/>
      <w:bookmarkEnd w:id="13"/>
      <w:bookmarkEnd w:id="14"/>
    </w:p>
    <w:p>
      <w:pPr>
        <w:pStyle w:val="Normal"/>
        <w:spacing w:before="0" w:after="0"/>
        <w:contextualSpacing/>
        <w:rPr/>
      </w:pPr>
      <w:r>
        <w:rPr>
          <w:rFonts w:cs="Calibri" w:cstheme="minorHAnsi"/>
          <w:sz w:val="22"/>
          <w:szCs w:val="22"/>
        </w:rPr>
        <w:t>Donovan Taylor</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102040758"/>
      <w:bookmarkStart w:id="16" w:name="_Toc1441383079"/>
      <w:bookmarkStart w:id="17" w:name="_Toc361528762"/>
      <w:r>
        <w:rPr/>
        <w:t>Algorithm Cipher</w:t>
      </w:r>
      <w:bookmarkEnd w:id="15"/>
      <w:bookmarkEnd w:id="16"/>
      <w:bookmarkEnd w:id="17"/>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TextBody"/>
        <w:spacing w:before="0" w:after="0"/>
        <w:contextualSpacing/>
        <w:rPr/>
      </w:pPr>
      <w:r>
        <w:rPr>
          <w:rFonts w:eastAsia="Times New Roman"/>
          <w:sz w:val="22"/>
          <w:szCs w:val="22"/>
        </w:rPr>
        <w:t>SHA-256 was selected for checksum generation due to its strong security and wide acceptance. It produces a fixed 256-bit hash that helps verify data integrity without requiring encryption keys. Unlike older algorithms such as MD5 or SHA-1, SHA-256 is resistant to collision attacks and is recommended for modern applications.</w:t>
      </w:r>
    </w:p>
    <w:p>
      <w:pPr>
        <w:pStyle w:val="TextBody"/>
        <w:rPr/>
      </w:pPr>
      <w:r>
        <w:rPr/>
        <w:t>SHA-256 is a one-way hash function, not an encryption method, and does not use symmetric or asymmetric keys. However, when keys are needed—for example, in HTTPS—random number generation and asymmetric key pairs (like RSA) are used for secure communication. SHA-256 remains a reliable standard for verifying data in financial and secure systems.</w:t>
      </w:r>
    </w:p>
    <w:p>
      <w:pPr>
        <w:pStyle w:val="Normal"/>
        <w:spacing w:before="0" w:after="0"/>
        <w:contextualSpacing/>
        <w:rPr>
          <w:rFonts w:eastAsia="Times New Roman"/>
          <w:sz w:val="22"/>
          <w:szCs w:val="22"/>
        </w:rPr>
      </w:pPr>
      <w:r>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8" w:name="_Toc102040759"/>
      <w:bookmarkStart w:id="19" w:name="_Toc290624425"/>
      <w:bookmarkStart w:id="20" w:name="_Toc272204322"/>
      <w:r>
        <w:rPr/>
        <w:t>Certificate Generation</w:t>
      </w:r>
      <w:bookmarkEnd w:id="18"/>
      <w:bookmarkEnd w:id="19"/>
      <w:bookmarkEnd w:id="20"/>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CER file.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1" allowOverlap="1" relativeHeight="4">
            <wp:simplePos x="0" y="0"/>
            <wp:positionH relativeFrom="column">
              <wp:posOffset>663575</wp:posOffset>
            </wp:positionH>
            <wp:positionV relativeFrom="paragraph">
              <wp:posOffset>67945</wp:posOffset>
            </wp:positionV>
            <wp:extent cx="3782060" cy="48393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782060" cy="4839335"/>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02040760"/>
      <w:bookmarkStart w:id="22" w:name="_Toc469977634"/>
      <w:bookmarkStart w:id="23" w:name="_Toc153388823"/>
      <w:r>
        <w:rPr/>
        <w:t>Deploy Cipher</w:t>
      </w:r>
      <w:bookmarkEnd w:id="21"/>
      <w:bookmarkEnd w:id="22"/>
      <w:bookmarkEnd w:id="23"/>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1" allowOverlap="1" relativeHeight="5">
            <wp:simplePos x="0" y="0"/>
            <wp:positionH relativeFrom="column">
              <wp:posOffset>181610</wp:posOffset>
            </wp:positionH>
            <wp:positionV relativeFrom="paragraph">
              <wp:posOffset>27305</wp:posOffset>
            </wp:positionV>
            <wp:extent cx="4876800" cy="21240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876800" cy="2124075"/>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1980769825"/>
      <w:bookmarkStart w:id="25" w:name="_Toc985755642"/>
      <w:bookmarkStart w:id="26" w:name="_Toc102040761"/>
      <w:r>
        <w:rPr/>
        <w:t>Secure Communications</w:t>
      </w:r>
      <w:bookmarkEnd w:id="26"/>
      <w:r>
        <w:rPr/>
        <w:t xml:space="preserve"> </w:t>
      </w:r>
      <w:bookmarkEnd w:id="24"/>
      <w:bookmarkEnd w:id="25"/>
    </w:p>
    <w:p>
      <w:pPr>
        <w:pStyle w:val="Normal"/>
        <w:spacing w:before="0" w:after="0"/>
        <w:contextualSpacing/>
        <w:rPr>
          <w:rFonts w:cs="Calibri" w:cstheme="minorHAnsi"/>
          <w:sz w:val="22"/>
          <w:szCs w:val="22"/>
        </w:rPr>
      </w:pPr>
      <w:r>
        <w:rPr>
          <w:sz w:val="22"/>
          <w:szCs w:val="22"/>
        </w:rPr>
        <w:t>Insert a screenshot below of the web browser that shows a secure webpage.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1" allowOverlap="1" relativeHeight="6">
            <wp:simplePos x="0" y="0"/>
            <wp:positionH relativeFrom="column">
              <wp:posOffset>-66040</wp:posOffset>
            </wp:positionH>
            <wp:positionV relativeFrom="paragraph">
              <wp:posOffset>17145</wp:posOffset>
            </wp:positionV>
            <wp:extent cx="5943600" cy="18649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1864995"/>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02040762"/>
      <w:bookmarkStart w:id="28" w:name="_Toc1151872792"/>
      <w:bookmarkStart w:id="29" w:name="_Toc1258769504"/>
      <w:r>
        <w:rPr/>
        <w:t>Secondary Testing</w:t>
      </w:r>
      <w:bookmarkEnd w:id="27"/>
      <w:bookmarkEnd w:id="28"/>
      <w:bookmarkEnd w:id="29"/>
    </w:p>
    <w:p>
      <w:pPr>
        <w:pStyle w:val="Normal"/>
        <w:spacing w:before="0" w:after="0"/>
        <w:contextualSpacing/>
        <w:rPr>
          <w:rFonts w:eastAsia="Times New Roman" w:cs="Calibri" w:cstheme="minorHAnsi"/>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23469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3234690"/>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39382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943600" cy="3938270"/>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0" w:name="_Toc102040763"/>
      <w:bookmarkStart w:id="31" w:name="_Toc190184513"/>
      <w:bookmarkStart w:id="32" w:name="_Toc1726280430"/>
      <w:r>
        <w:rPr/>
        <w:t>Functional Testing</w:t>
      </w:r>
      <w:bookmarkEnd w:id="30"/>
      <w:bookmarkEnd w:id="31"/>
      <w:bookmarkEnd w:id="32"/>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refactored code executed without errors.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93827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943600" cy="3938270"/>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3" w:name="_Toc102040764"/>
      <w:bookmarkStart w:id="34" w:name="_Toc1705881728"/>
      <w:bookmarkStart w:id="35" w:name="_Toc1256172566"/>
      <w:r>
        <w:rPr/>
        <w:t>Summary</w:t>
      </w:r>
      <w:bookmarkEnd w:id="33"/>
      <w:bookmarkEnd w:id="34"/>
      <w:bookmarkEnd w:id="35"/>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TextBody"/>
        <w:spacing w:before="0" w:after="0"/>
        <w:contextualSpacing/>
        <w:rPr/>
      </w:pPr>
      <w:r>
        <w:rPr>
          <w:rFonts w:eastAsia="Times New Roman"/>
          <w:sz w:val="22"/>
          <w:szCs w:val="22"/>
        </w:rPr>
        <w:t>The code was refactored to implement SHA-256 hashing, enable HTTPS with a self-signed certificate, and support secure communication. These enhancements align with the security requirements outlined in the vulnerability assessment process. Areas addressed include data integrity (via checksum), confidentiality (via HTTPS), and authenticity (via certificate verification).</w:t>
      </w:r>
    </w:p>
    <w:p>
      <w:pPr>
        <w:pStyle w:val="TextBody"/>
        <w:rPr/>
      </w:pPr>
      <w:r>
        <w:rPr/>
        <w:t>The development process followed a layered approach:</w:t>
      </w:r>
    </w:p>
    <w:p>
      <w:pPr>
        <w:pStyle w:val="TextBody"/>
        <w:numPr>
          <w:ilvl w:val="0"/>
          <w:numId w:val="3"/>
        </w:numPr>
        <w:tabs>
          <w:tab w:val="clear" w:pos="720"/>
          <w:tab w:val="left" w:pos="0" w:leader="none"/>
        </w:tabs>
        <w:ind w:left="707" w:hanging="283"/>
        <w:rPr/>
      </w:pPr>
      <w:r>
        <w:rPr>
          <w:rStyle w:val="StrongEmphasis"/>
        </w:rPr>
        <w:t>Checksum functionality</w:t>
      </w:r>
      <w:r>
        <w:rPr/>
        <w:t xml:space="preserve"> ensures tamper detection.</w:t>
      </w:r>
    </w:p>
    <w:p>
      <w:pPr>
        <w:pStyle w:val="TextBody"/>
        <w:numPr>
          <w:ilvl w:val="0"/>
          <w:numId w:val="3"/>
        </w:numPr>
        <w:tabs>
          <w:tab w:val="clear" w:pos="720"/>
          <w:tab w:val="left" w:pos="0" w:leader="none"/>
        </w:tabs>
        <w:ind w:left="707" w:hanging="283"/>
        <w:rPr/>
      </w:pPr>
      <w:r>
        <w:rPr>
          <w:rStyle w:val="StrongEmphasis"/>
        </w:rPr>
        <w:t>HTTPS configuration</w:t>
      </w:r>
      <w:r>
        <w:rPr/>
        <w:t xml:space="preserve"> ensures secure data transfer.</w:t>
      </w:r>
    </w:p>
    <w:p>
      <w:pPr>
        <w:pStyle w:val="TextBody"/>
        <w:numPr>
          <w:ilvl w:val="0"/>
          <w:numId w:val="3"/>
        </w:numPr>
        <w:tabs>
          <w:tab w:val="clear" w:pos="720"/>
          <w:tab w:val="left" w:pos="0" w:leader="none"/>
        </w:tabs>
        <w:ind w:left="707" w:hanging="283"/>
        <w:rPr/>
      </w:pPr>
      <w:r>
        <w:rPr>
          <w:rStyle w:val="StrongEmphasis"/>
        </w:rPr>
        <w:t>Static testing and code review</w:t>
      </w:r>
      <w:r>
        <w:rPr/>
        <w:t xml:space="preserve"> verify that no new vulnerabilities were introduced.</w:t>
      </w:r>
    </w:p>
    <w:p>
      <w:pPr>
        <w:pStyle w:val="TextBody"/>
        <w:rPr/>
      </w:pPr>
      <w:r>
        <w:rPr/>
        <w:t>These additions strengthen the security posture of Artemis Financial’s application.</w:t>
      </w:r>
    </w:p>
    <w:p>
      <w:pPr>
        <w:pStyle w:val="Normal"/>
        <w:spacing w:before="0" w:after="0"/>
        <w:contextualSpacing/>
        <w:rPr>
          <w:rFonts w:eastAsia="Times New Roman"/>
          <w:sz w:val="22"/>
          <w:szCs w:val="22"/>
        </w:rPr>
      </w:pPr>
      <w:r>
        <w:rPr/>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2"/>
        </w:numPr>
        <w:spacing w:lineRule="auto" w:line="240" w:before="0" w:after="0"/>
        <w:contextualSpacing/>
        <w:rPr>
          <w:rFonts w:ascii="Calibri" w:hAnsi="Calibri" w:eastAsia="Calibri" w:cs="Calibri"/>
        </w:rPr>
      </w:pPr>
      <w:bookmarkStart w:id="36" w:name="_Toc102040765"/>
      <w:bookmarkStart w:id="37" w:name="_Toc171130422"/>
      <w:r>
        <w:rPr/>
        <w:t>Industry Standard Best Practices</w:t>
      </w:r>
      <w:bookmarkEnd w:id="36"/>
      <w:bookmarkEnd w:id="37"/>
    </w:p>
    <w:p>
      <w:pPr>
        <w:pStyle w:val="Normal"/>
        <w:spacing w:before="0" w:after="0"/>
        <w:contextualSpacing/>
        <w:rPr>
          <w:rFonts w:eastAsia="Times New Roman"/>
          <w:sz w:val="22"/>
          <w:szCs w:val="22"/>
        </w:rPr>
      </w:pPr>
      <w:r>
        <w:rPr>
          <w:rFonts w:eastAsia="Times New Roman"/>
          <w:sz w:val="22"/>
          <w:szCs w:val="22"/>
        </w:rPr>
      </w:r>
    </w:p>
    <w:p>
      <w:pPr>
        <w:pStyle w:val="TextBody"/>
        <w:spacing w:before="0" w:after="0"/>
        <w:contextualSpacing/>
        <w:rPr/>
      </w:pPr>
      <w:r>
        <w:rPr>
          <w:rFonts w:eastAsia="Times New Roman"/>
          <w:sz w:val="22"/>
          <w:szCs w:val="22"/>
        </w:rPr>
        <w:t>Industry standard secure coding practices were followed throughout this project. These include using SHA-256 for hashing, enabling TLS for encrypted communication, and avoiding deprecated or insecure cryptographic functions. Dependencies were scanned using OWASP tools to catch known vulnerabilities.</w:t>
      </w:r>
    </w:p>
    <w:p>
      <w:pPr>
        <w:pStyle w:val="TextBody"/>
        <w:rPr/>
      </w:pPr>
      <w:r>
        <w:rPr/>
        <w:t>By implementing these standards, the application maintains data integrity, confidentiality, and reliability. Following secure coding practices also reduces the risk of data breaches and supports Artemis Financial’s goal of protecting sensitive client information. It also demonstrates due diligence in software development, which contributes to the organization’s overall trust and reputation in the financial sector.</w:t>
      </w:r>
    </w:p>
    <w:p>
      <w:pPr>
        <w:pStyle w:val="Normal"/>
        <w:spacing w:before="0" w:after="0"/>
        <w:contextualSpacing/>
        <w:rPr>
          <w:rFonts w:eastAsia="Times New Roman"/>
          <w:sz w:val="22"/>
          <w:szCs w:val="22"/>
        </w:rPr>
      </w:pPr>
      <w:r>
        <w:rPr/>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6372901"/>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link w:val="Heading2Char"/>
    <w:uiPriority w:val="9"/>
    <w:qFormat/>
    <w:rsid w:val="00b7788f"/>
    <w:pPr>
      <w:widowControl/>
      <w:bidi w:val="0"/>
      <w:jc w:val="left"/>
      <w:outlineLvl w:val="1"/>
    </w:pPr>
    <w:rPr>
      <w:rFonts w:ascii="Calibri" w:hAnsi="Calibri" w:eastAsia="Calibri" w:cs="" w:asciiTheme="minorHAnsi" w:cstheme="minorBidi" w:eastAsiaTheme="minorHAnsi" w:hAnsiTheme="minorHAnsi"/>
      <w:b/>
      <w:bCs/>
      <w:color w:val="auto"/>
      <w:kern w:val="0"/>
      <w:sz w:val="22"/>
      <w:szCs w:val="22"/>
      <w:lang w:val="en-US" w:eastAsia="en-US" w:bidi="ar-SA"/>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Internet 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CommentText"/>
    <w:uiPriority w:val="99"/>
    <w:semiHidden/>
    <w:qFormat/>
    <w:rsid w:val="00790486"/>
    <w:rPr>
      <w:sz w:val="20"/>
      <w:szCs w:val="20"/>
    </w:rPr>
  </w:style>
  <w:style w:type="character" w:styleId="CommentSubjectChar" w:customStyle="1">
    <w:name w:val="Comment Subject Char"/>
    <w:basedOn w:val="CommentTextChar"/>
    <w:link w:val="CommentSubject"/>
    <w:uiPriority w:val="99"/>
    <w:semiHidden/>
    <w:qFormat/>
    <w:rsid w:val="00790486"/>
    <w:rPr>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IndexLink">
    <w:name w:val="Index Link"/>
    <w:qFormat/>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5c593c"/>
    <w:pPr>
      <w:spacing w:lineRule="auto" w:line="276" w:before="480" w:after="0"/>
      <w:contextualSpacing/>
    </w:pPr>
    <w:rPr>
      <w:b w:val="false"/>
      <w:bCs w:val="false"/>
      <w:sz w:val="28"/>
      <w:szCs w:val="28"/>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Trio_Office/6.2.8.2$Windows_x86 LibreOffice_project/</Application>
  <Pages>8</Pages>
  <Words>529</Words>
  <Characters>3168</Characters>
  <CharactersWithSpaces>3629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2025-06-22T04:19:55Z</dcterms:modified>
  <cp:revision>51</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0x010100F5CC0A6DD1FA224496921034181E8D3A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9305200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0</vt:bool>
  </property>
</Properties>
</file>