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ConvertiTodo — Documento de prueba</w:t>
      </w:r>
    </w:p>
    <w:p>
      <w:pPr>
        <w:pStyle w:val="Heading1"/>
      </w:pPr>
      <w:r>
        <w:t>Introducción</w:t>
      </w:r>
    </w:p>
    <w:p>
      <w:r>
        <w:t>Este documento se usa como fixture para testear la conversión de DOCX a otros formatos. Contiene un título principal, subtítulos, un párrafo, una lista y una tabla.</w:t>
      </w:r>
    </w:p>
    <w:p>
      <w:pPr>
        <w:pStyle w:val="Heading1"/>
      </w:pPr>
      <w:r>
        <w:t>Características soportadas</w:t>
      </w:r>
    </w:p>
    <w:p>
      <w:pPr>
        <w:pStyle w:val="ListBullet"/>
      </w:pPr>
      <w:r>
        <w:t>Extracción de texto plano</w:t>
      </w:r>
    </w:p>
    <w:p>
      <w:pPr>
        <w:pStyle w:val="ListBullet"/>
      </w:pPr>
      <w:r>
        <w:t>Detección de títulos por estilo</w:t>
      </w:r>
    </w:p>
    <w:p>
      <w:pPr>
        <w:pStyle w:val="ListBullet"/>
      </w:pPr>
      <w:r>
        <w:t>Conversión a PDF con fidelidad parcial</w:t>
      </w:r>
    </w:p>
    <w:p>
      <w:pPr>
        <w:pStyle w:val="ListBullet"/>
      </w:pPr>
      <w:r>
        <w:t>Extracción de tablas a XLSX</w:t>
      </w:r>
    </w:p>
    <w:p>
      <w:pPr>
        <w:pStyle w:val="Heading1"/>
      </w:pPr>
      <w:r>
        <w:t>Tabla de formatos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Origen</w:t>
            </w:r>
          </w:p>
        </w:tc>
        <w:tc>
          <w:tcPr>
            <w:tcW w:type="dxa" w:w="2880"/>
          </w:tcPr>
          <w:p>
            <w:r>
              <w:t>Destino</w:t>
            </w:r>
          </w:p>
        </w:tc>
        <w:tc>
          <w:tcPr>
            <w:tcW w:type="dxa" w:w="2880"/>
          </w:tcPr>
          <w:p>
            <w:r>
              <w:t>Fidelidad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TXT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Solo tablas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