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Computação Ubíqua na Educação:</w:t>
      </w:r>
    </w:p>
    <w:p>
      <w:pPr>
        <w:pStyle w:val="normal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1"/>
        <w:ind w:firstLine="720"/>
        <w:rPr/>
      </w:pPr>
      <w:r>
        <w:rPr/>
        <w:t>A ascensão da computação ubíqua, marcou uma mudança paradigmática na educação, revolucionando métodos tradicionais de ensino e aprendizado. Antigamente, o conhecimento era disponível  em formatos físicos, como livros e mapas. Tendo como principal forma de transmissão métodos convencionais, como aulas em salas de aulas.</w:t>
      </w:r>
    </w:p>
    <w:p>
      <w:pPr>
        <w:pStyle w:val="normal1"/>
        <w:ind w:firstLine="720"/>
        <w:rPr/>
      </w:pPr>
      <w:r>
        <w:rPr/>
        <w:t>Com a chegada da tecnologia e evolução da mesma em dispositivos cada vez mais portáteis, as barreiras físicas foram dissipadas, dando lugar a uma nova era em que o conhecimento está literalmente ao alcance das mãos.  No artigo “A walk on the WILD side: How wireless handhelds may change computer-supported collaborative learning”,os autores discutem como esses dispositivos podem revolucionar a educação já que o acesso ao conhecimento pode ser feito de qualquer lugar e oferecendo informações contextualizadas e adaptadas à situação específica de aprendizagem, desse modo, oferecendo uma experiência educacional mais dinâmica e envolvente ao usuário.</w:t>
      </w:r>
    </w:p>
    <w:p>
      <w:pPr>
        <w:pStyle w:val="normal1"/>
        <w:rPr/>
      </w:pPr>
      <w:r>
        <w:rPr/>
        <w:t xml:space="preserve">   </w:t>
      </w:r>
      <w:r>
        <w:rPr/>
        <w:tab/>
        <w:t>De acordo com Vieira em seu livro 'Explorando as Diversas Formas de Educação: Escolar, Informal e Não-Formal', existem três formas principais de educação. A educação formal ocorre dentro das instituições de ensino, como escolas e universidades. A educação informal, por outro lado, acontece no cotidiano, fora do ambiente escolar, e pode incluir aprendizados transmitidos pelos pais, interações sociais e experiências do dia a dia. Já a educação não-formal acontece quando há intenção de certos sujeitos em buscar ou criar objetivos educacionais fora do ambiente escolar. Com base nas três formas vamos observar como a computação ubíqua transformou a educação.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Educação Formal:</w:t>
      </w:r>
    </w:p>
    <w:p>
      <w:pPr>
        <w:pStyle w:val="normal1"/>
        <w:rPr>
          <w:b/>
          <w:bCs/>
        </w:rPr>
      </w:pPr>
      <w:r>
        <w:rPr>
          <w:b/>
          <w:bCs/>
        </w:rPr>
        <w:tab/>
      </w:r>
    </w:p>
    <w:p>
      <w:pPr>
        <w:pStyle w:val="normal1"/>
        <w:rPr/>
      </w:pPr>
      <w:r>
        <w:rPr>
          <w:b/>
          <w:bCs/>
        </w:rPr>
        <w:tab/>
      </w:r>
      <w:r>
        <w:rPr/>
        <w:t>Podemos usar como exemplo de educação formal o ensino fundamental público oferecido no Brasil. Anteriormente, os métodos de ensino eram predominantemente baseados na transmissão unidirecional de conhecimento, com o professor desempenhando o papel de autoridade central. No entanto, os métodos atuais adotam uma abordagem mais centrada no aluno, utilizando uma variedade de recursos digitais, como vídeos educativos e interações audiovisuais. Isso permite a personalização do aprendizado, adaptando-o aos interesses individuais e ao contexto atual.</w:t>
      </w:r>
    </w:p>
    <w:p>
      <w:pPr>
        <w:pStyle w:val="normal1"/>
        <w:rPr/>
      </w:pPr>
      <w:r>
        <w:rPr/>
        <w:tab/>
        <w:t>Para fins de comparação, podemos utilizar a pirâmide de Glasser (imagem ali em abaixo)  para observar a efetividade da tecnologia no ensino, considerando um aluno que estuda sozinho utilizando apenas ferramentas digitais para o modelo atual e ferramentas físicas para o modelo antigo. Enquanto os métodos tradicionais proporcionavam um aprendizado de 50% durante a aula, seguido por apenas 10% pós-aula com leitura em livros ou anotações, os métodos atuais mantêm um alto nível de aprendizado tanto durante quanto após a aula, alcançando 50% em ambas as fases. Isso é viabilizado pelo acesso a recursos digitais, como vídeos educativos, que permitem uma continuidade na assimilação do conhecimento.</w:t>
      </w:r>
    </w:p>
    <w:p>
      <w:pPr>
        <w:pStyle w:val="normal1"/>
        <w:rPr/>
      </w:pPr>
      <w:r>
        <w:rPr/>
        <w:tab/>
      </w:r>
      <w:r>
        <w:rPr/>
        <w:drawing>
          <wp:inline distT="0" distB="0" distL="0" distR="0">
            <wp:extent cx="4243070" cy="285750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0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firstLine="720"/>
        <w:rPr/>
      </w:pPr>
      <w:r>
        <w:rPr/>
        <w:tab/>
        <w:t xml:space="preserve">(imagem retirada aqui: </w:t>
      </w:r>
      <w:hyperlink r:id="rId3">
        <w:r>
          <w:rPr>
            <w:rStyle w:val="ListLabel1"/>
            <w:color w:val="1155CC"/>
            <w:u w:val="single"/>
          </w:rPr>
          <w:t>https://www.cesdcampinas.org.br/a-piramide-de-aprendizagem-de-william-glasser</w:t>
        </w:r>
      </w:hyperlink>
      <w:r>
        <w:rPr/>
        <w:t>)</w:t>
      </w:r>
    </w:p>
    <w:p>
      <w:pPr>
        <w:pStyle w:val="normal1"/>
        <w:ind w:firstLine="720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Educação Informal e Não Formal: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ab/>
      </w:r>
      <w:r>
        <w:rPr/>
        <w:t>Além da educação formal, a computação ubíqua também impacta positivamente na educação informal, atuando como facilitadora em tarefas com objetos tecnológicos e simplificando o apren</w:t>
      </w:r>
      <w:r>
        <w:rPr>
          <w:b/>
          <w:bCs/>
        </w:rPr>
        <w:t>dizado, inclusive pulando etapas que anteriormente teriam q</w:t>
      </w:r>
      <w:r>
        <w:rPr/>
        <w:t>ue ser ensinadas. Na educação não formal, ela se propaga mais rapidamente e consegue atingir um maior número de pessoas, facilitando, por exemplo, o acesso a museus utilizando meios online ou através de videoconferências.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  <w:bCs/>
        </w:rPr>
        <w:t>Pandemia e Inteligência Artificial:</w:t>
      </w:r>
      <w:r>
        <w:rPr/>
        <w:tab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ab/>
        <w:t>Vale lembrar o quanto a tecnologia foi fundamental durante a pandemia de Covid-19, quando as pessoas estavam impossibilitadas de frequentar faculdades, escolas e palestras para evitar a propagação do vírus. Com ajuda da computação ubíqua, foi possível manter o aprendizado funcionando "normalmente" e, após o término, integrar completamente o método antigo com o método atual.</w:t>
      </w:r>
    </w:p>
    <w:p>
      <w:pPr>
        <w:pStyle w:val="normal1"/>
        <w:rPr/>
      </w:pPr>
      <w:r>
        <w:rPr/>
        <w:tab/>
        <w:t>Além disso, houve a popularização da inteligência artificial na educação, em que um robô simula ser uma pessoa, podendo ensinar de forma didática, fazer buscas específicas, corrigir textos, entender perguntas e responder de forma científica, como um ser humano. Uma das ferramentas mais famosas nesse contexto é o ChatGPT.</w:t>
      </w:r>
    </w:p>
    <w:p>
      <w:pPr>
        <w:pStyle w:val="normal1"/>
        <w:rPr/>
      </w:pPr>
      <w:r>
        <w:rPr/>
      </w:r>
    </w:p>
    <w:p>
      <w:pPr>
        <w:pStyle w:val="normal1"/>
        <w:rPr>
          <w:sz w:val="24"/>
          <w:szCs w:val="24"/>
        </w:rPr>
      </w:pPr>
      <w:r>
        <w:rPr>
          <w:sz w:val="24"/>
          <w:szCs w:val="24"/>
        </w:rPr>
        <w:t>Conclusão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 inserção da computação ubíqua na educação representa uma mudança fundamental nos métodos de ensino e aprendizado, capacitando os educadores a oferecer uma experiência educacional mais dinâmica e adaptada às necessidades individuais dos alunos. Embora seja importante reconhecer que novas tecnologias não substituem completamente os métodos tradicionais, elas modificam significativamente a forma como são utilizados. Assim, a combinação harmoniosa de métodos antigos e novos pode resultar na máxima eficácia educacional. Como citado por Jacquinot-Delaunay, "uma nova mídia ou tecnologia nunca fazem desaparecer as antigas, mas modificam os seus usos".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Referencias:</w:t>
      </w:r>
    </w:p>
    <w:p>
      <w:pPr>
        <w:pStyle w:val="normal1"/>
        <w:rPr/>
      </w:pPr>
      <w:r>
        <w:rPr/>
      </w:r>
    </w:p>
    <w:p>
      <w:pPr>
        <w:pStyle w:val="normal1"/>
        <w:rPr/>
      </w:pPr>
      <w:hyperlink r:id="rId4">
        <w:r>
          <w:rPr>
            <w:rStyle w:val="ListLabel1"/>
            <w:color w:val="1155CC"/>
            <w:u w:val="single"/>
          </w:rPr>
          <w:t>https://www.geppetto.com.br/post/a-evolu%C3%A7%C3%A3o-dos-m%C3%A9todos-de-ensino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hyperlink r:id="rId5">
        <w:r>
          <w:rPr>
            <w:rStyle w:val="ListLabel1"/>
            <w:color w:val="1155CC"/>
            <w:u w:val="single"/>
          </w:rPr>
          <w:t>https://www.cesdcampinas.org.br/a-piramide-de-aprendizagem-de-william-glasser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hyperlink r:id="rId6">
        <w:r>
          <w:rPr>
            <w:rStyle w:val="ListLabel1"/>
            <w:color w:val="1155CC"/>
            <w:u w:val="single"/>
          </w:rPr>
          <w:t>https://meuartigo.brasilescola.uol.com.br/pedagogia/%20educacao-nao-formal.htm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SRI International. (n.d.). A Walk On The Wild Side: How Wireless Handhelds May Change Computer-Supported Collaborative Learning. Disponivel em</w:t>
      </w:r>
      <w:hyperlink r:id="rId7">
        <w:r>
          <w:rPr>
            <w:rStyle w:val="ListLabel2"/>
          </w:rPr>
          <w:t xml:space="preserve"> </w:t>
        </w:r>
      </w:hyperlink>
      <w:hyperlink r:id="rId8">
        <w:r>
          <w:rPr>
            <w:rStyle w:val="ListLabel1"/>
            <w:color w:val="1155CC"/>
            <w:u w:val="single"/>
          </w:rPr>
          <w:t>https://www.sri.com/publication/education-learning-pubs/digital-learning-pubs/a-walk-on-the-wild-side-how-wireless-handhelds-may-change-computer-supported-collaborative-learning/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Santaella, L. (2019). A aprendizagem ubíqua substitui a educação formal? Revista de Educação Continuada em Educação e Tecnologia, 3(1), 51-58.</w:t>
      </w:r>
      <w:hyperlink r:id="rId9">
        <w:r>
          <w:rPr>
            <w:rStyle w:val="ListLabel2"/>
          </w:rPr>
          <w:t xml:space="preserve"> </w:t>
        </w:r>
      </w:hyperlink>
      <w:hyperlink r:id="rId10">
        <w:r>
          <w:rPr>
            <w:rStyle w:val="ListLabel1"/>
            <w:color w:val="1155CC"/>
            <w:u w:val="single"/>
          </w:rPr>
          <w:t>https://revistas.pucsp.br/index.php/ReCET/article/view/3852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Vieira, V., Bianconi, M. L., &amp; Dias, M. (2005). Espaços não-formais de ensino e o currículo de ciências. Ciência e Cultura, 57(4), 21–23. Recuperado de</w:t>
      </w:r>
      <w:hyperlink r:id="rId11">
        <w:r>
          <w:rPr>
            <w:rStyle w:val="ListLabel2"/>
          </w:rPr>
          <w:t xml:space="preserve"> </w:t>
        </w:r>
      </w:hyperlink>
      <w:hyperlink r:id="rId12">
        <w:r>
          <w:rPr>
            <w:rStyle w:val="ListLabel1"/>
            <w:color w:val="1155CC"/>
            <w:u w:val="single"/>
          </w:rPr>
          <w:t>http://cienciaecultura.bvs.br/scielo.php?script=sci_arttext&amp;pid=S0009-67252005000400014</w:t>
        </w:r>
      </w:hyperlink>
    </w:p>
    <w:p>
      <w:pPr>
        <w:pStyle w:val="normal1"/>
        <w:spacing w:lineRule="auto" w:line="240" w:before="240" w:after="240"/>
        <w:rPr/>
      </w:pPr>
      <w:r>
        <w:rPr/>
        <w:t>Jacquinot-Delaunay, G. (2009). Algumas observações sobre os “nativos digitais” e a escola. Em Marialva Barbosa et al. (Eds.), (pp. 167–182). Curitiba: Intercom.</w:t>
      </w:r>
    </w:p>
    <w:p>
      <w:pPr>
        <w:pStyle w:val="normal1"/>
        <w:spacing w:lineRule="auto" w:line="240" w:before="240" w:after="240"/>
        <w:rPr/>
      </w:pPr>
      <w:r>
        <w:rPr/>
      </w:r>
    </w:p>
    <w:p>
      <w:pPr>
        <w:pStyle w:val="normal1"/>
        <w:spacing w:lineRule="auto" w:line="240" w:before="240" w:after="240"/>
        <w:rPr/>
      </w:pPr>
      <w:r>
        <w:rPr/>
        <w:t>Barbosa, D. N. F., Sarmento, D. F., Barbosa, J. L. V., &amp; Geyer, C. F. R. (2008). Em direção a Educação Ubíqua: aprender sempre, em qualquer lugar, com qualquer dispositivo. Revista Novas Tecnologias na Educação, 6(2), 1-10. Recuperado de</w:t>
      </w:r>
      <w:hyperlink r:id="rId13">
        <w:r>
          <w:rPr>
            <w:rStyle w:val="ListLabel2"/>
          </w:rPr>
          <w:t xml:space="preserve"> </w:t>
        </w:r>
      </w:hyperlink>
      <w:hyperlink r:id="rId14">
        <w:r>
          <w:rPr>
            <w:rStyle w:val="ListLabel1"/>
            <w:color w:val="1155CC"/>
            <w:u w:val="single"/>
          </w:rPr>
          <w:t>https://seer.ufrgs.br/index.php/renote/article/view/14492</w:t>
        </w:r>
      </w:hyperlink>
    </w:p>
    <w:p>
      <w:pPr>
        <w:pStyle w:val="normal1"/>
        <w:spacing w:lineRule="auto" w:line="240" w:before="240" w:after="240"/>
        <w:rPr/>
      </w:pPr>
      <w:r>
        <w:rPr/>
      </w:r>
    </w:p>
    <w:p>
      <w:pPr>
        <w:pStyle w:val="normal1"/>
        <w:spacing w:lineRule="auto" w:line="240" w:before="240" w:after="240"/>
        <w:rPr>
          <w:color w:val="1155CC"/>
          <w:u w:val="single"/>
        </w:rPr>
      </w:pPr>
      <w:r>
        <w:rPr/>
        <w:t>Lima, J. S., Nascimento, J. M. F., &amp; Santos, V. A. (2014). Computação Ubíqua Aplicada na Educação: Um Mapeamento Sistemático. In Nuevas Ideas en Informática Educativa TISE 2014 (p. 842). Recuperado de</w:t>
      </w:r>
      <w:hyperlink r:id="rId15">
        <w:r>
          <w:rPr>
            <w:rStyle w:val="ListLabel2"/>
          </w:rPr>
          <w:t xml:space="preserve"> </w:t>
        </w:r>
      </w:hyperlink>
      <w:hyperlink r:id="rId16">
        <w:r>
          <w:rPr>
            <w:rStyle w:val="ListLabel1"/>
            <w:color w:val="1155CC"/>
            <w:u w:val="single"/>
          </w:rPr>
          <w:t>https://www.tise.cl/volumen10/TISE2014/tise2014_submission_295.pdf</w:t>
        </w:r>
      </w:hyperlink>
    </w:p>
    <w:p>
      <w:pPr>
        <w:pStyle w:val="normal1"/>
        <w:spacing w:lineRule="auto" w:line="240" w:before="240" w:after="240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3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cesdcampinas.org.br/a-piramide-de-aprendizagem-de-william-glasser" TargetMode="External"/><Relationship Id="rId4" Type="http://schemas.openxmlformats.org/officeDocument/2006/relationships/hyperlink" Target="https://www.geppetto.com.br/post/a-evolu&#231;&#227;o-dos-m&#233;todos-de-ensino" TargetMode="External"/><Relationship Id="rId5" Type="http://schemas.openxmlformats.org/officeDocument/2006/relationships/hyperlink" Target="https://www.cesdcampinas.org.br/a-piramide-de-aprendizagem-de-william-glasser" TargetMode="External"/><Relationship Id="rId6" Type="http://schemas.openxmlformats.org/officeDocument/2006/relationships/hyperlink" Target="https://meuartigo.brasilescola.uol.com.br/pedagogia/%20educacao-nao-formal.htm" TargetMode="External"/><Relationship Id="rId7" Type="http://schemas.openxmlformats.org/officeDocument/2006/relationships/hyperlink" Target="https://www.sri.com/publication/education-learning-pubs/digital-learning-pubs/a-walk-on-the-wild-side-how-wireless-handhelds-may-change-computer-supported-collaborative-learning/" TargetMode="External"/><Relationship Id="rId8" Type="http://schemas.openxmlformats.org/officeDocument/2006/relationships/hyperlink" Target="https://www.sri.com/publication/education-learning-pubs/digital-learning-pubs/a-walk-on-the-wild-side-how-wireless-handhelds-may-change-computer-supported-collaborative-learning/" TargetMode="External"/><Relationship Id="rId9" Type="http://schemas.openxmlformats.org/officeDocument/2006/relationships/hyperlink" Target="https://revistas.pucsp.br/index.php/ReCET/article/view/3852" TargetMode="External"/><Relationship Id="rId10" Type="http://schemas.openxmlformats.org/officeDocument/2006/relationships/hyperlink" Target="https://revistas.pucsp.br/index.php/ReCET/article/view/3852" TargetMode="External"/><Relationship Id="rId11" Type="http://schemas.openxmlformats.org/officeDocument/2006/relationships/hyperlink" Target="http://cienciaecultura.bvs.br/scielo.php?script=sci_arttext&amp;pid=S0009-67252005000400014" TargetMode="External"/><Relationship Id="rId12" Type="http://schemas.openxmlformats.org/officeDocument/2006/relationships/hyperlink" Target="http://cienciaecultura.bvs.br/scielo.php?script=sci_arttext&amp;pid=S0009-67252005000400014" TargetMode="External"/><Relationship Id="rId13" Type="http://schemas.openxmlformats.org/officeDocument/2006/relationships/hyperlink" Target="https://seer.ufrgs.br/index.php/renote/article/view/14492" TargetMode="External"/><Relationship Id="rId14" Type="http://schemas.openxmlformats.org/officeDocument/2006/relationships/hyperlink" Target="https://seer.ufrgs.br/index.php/renote/article/view/14492" TargetMode="External"/><Relationship Id="rId15" Type="http://schemas.openxmlformats.org/officeDocument/2006/relationships/hyperlink" Target="https://www.tise.cl/volumen10/TISE2014/tise2014_submission_295.pdf" TargetMode="External"/><Relationship Id="rId16" Type="http://schemas.openxmlformats.org/officeDocument/2006/relationships/hyperlink" Target="https://www.tise.cl/volumen10/TISE2014/tise2014_submission_295.pdf" TargetMode="Externa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865</Words>
  <Characters>5800</Characters>
  <CharactersWithSpaces>6654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2026-01-08T11:13:52Z</dcterms:modified>
  <cp:revision>1</cp:revision>
  <dc:subject/>
  <dc:title/>
</cp:coreProperties>
</file>