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A86B" w14:textId="4C8C4189" w:rsidR="00420F2A" w:rsidRPr="00420F2A" w:rsidRDefault="00420F2A" w:rsidP="00420F2A">
      <w:pPr>
        <w:rPr>
          <w:lang w:val="en-GB"/>
        </w:rPr>
      </w:pPr>
      <w:proofErr w:type="gramStart"/>
      <w:r>
        <w:rPr>
          <w:lang w:val="en-GB"/>
        </w:rPr>
        <w:t xml:space="preserve">This </w:t>
      </w:r>
      <w:r w:rsidRPr="00420F2A">
        <w:rPr>
          <w:lang w:val="en-GB"/>
        </w:rPr>
        <w:t xml:space="preserve"> document</w:t>
      </w:r>
      <w:proofErr w:type="gramEnd"/>
      <w:r w:rsidRPr="00420F2A">
        <w:rPr>
          <w:lang w:val="en-GB"/>
        </w:rPr>
        <w:t xml:space="preserve"> is the </w:t>
      </w:r>
      <w:r w:rsidR="00054B4F">
        <w:rPr>
          <w:lang w:val="en-GB"/>
        </w:rPr>
        <w:t>z</w:t>
      </w:r>
      <w:r w:rsidRPr="00420F2A">
        <w:rPr>
          <w:lang w:val="en-GB"/>
        </w:rPr>
        <w:t xml:space="preserve"> 2014/49/EU of the European Parliament and of the Council, dated 16 April 2014, concerning deposit guarantee schemes (DGSs).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It aims to harmonize and improve the protection of depositors within the European Union.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Key points include:</w:t>
      </w:r>
    </w:p>
    <w:p w14:paraId="2FEE0A08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Scope and Definitions</w:t>
      </w:r>
      <w:r w:rsidRPr="00420F2A">
        <w:rPr>
          <w:lang w:val="en-GB"/>
        </w:rPr>
        <w:t xml:space="preserve">: The directive applies to statutory, contractual, and institutional protection schemes officially recognized as DGSs.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It defines terms such as 'deposit', 'eligible deposits', 'covered deposits', and 'credit institution'.</w:t>
      </w:r>
    </w:p>
    <w:p w14:paraId="5A03A3BB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Coverage Level</w:t>
      </w:r>
      <w:r w:rsidRPr="00420F2A">
        <w:rPr>
          <w:lang w:val="en-GB"/>
        </w:rPr>
        <w:t xml:space="preserve">: The standard coverage level for deposits is set at EUR 100,000 per depositor per credit institution.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Certain deposits related to real estate transactions, social purposes, and insurance benefits may be protected above this level for a limited period.</w:t>
      </w:r>
    </w:p>
    <w:p w14:paraId="58AD1A11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Repayment</w:t>
      </w:r>
      <w:r w:rsidRPr="00420F2A">
        <w:rPr>
          <w:lang w:val="en-GB"/>
        </w:rPr>
        <w:t xml:space="preserve">: DGSs must ensure that depositors can access their funds within seven working days of a credit institution's failure.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Transitional periods allow for longer repayment times until 2023. </w:t>
      </w:r>
      <w:r w:rsidRPr="00420F2A">
        <w:rPr>
          <w:rFonts w:ascii="Arial" w:hAnsi="Arial" w:cs="Arial"/>
          <w:lang w:val="en-GB"/>
        </w:rPr>
        <w:t>​</w:t>
      </w:r>
    </w:p>
    <w:p w14:paraId="03CDF5EA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Funding</w:t>
      </w:r>
      <w:r w:rsidRPr="00420F2A">
        <w:rPr>
          <w:lang w:val="en-GB"/>
        </w:rPr>
        <w:t xml:space="preserve">: DGSs must have adequate financial means, primarily funded by contributions from member credit institutions.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The target level for available financial means is set at 0.8% of covered deposits by 2024.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Extraordinary contributions may be required if funds are insufficient. </w:t>
      </w:r>
      <w:r w:rsidRPr="00420F2A">
        <w:rPr>
          <w:rFonts w:ascii="Arial" w:hAnsi="Arial" w:cs="Arial"/>
          <w:lang w:val="en-GB"/>
        </w:rPr>
        <w:t>​</w:t>
      </w:r>
    </w:p>
    <w:p w14:paraId="0F5FCF87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Use of Funds</w:t>
      </w:r>
      <w:r w:rsidRPr="00420F2A">
        <w:rPr>
          <w:lang w:val="en-GB"/>
        </w:rPr>
        <w:t xml:space="preserve">: Funds are primarily used to repay depositors but can also finance the resolution of credit institutions or prevent their failure under certain conditions. </w:t>
      </w:r>
      <w:r w:rsidRPr="00420F2A">
        <w:rPr>
          <w:rFonts w:ascii="Arial" w:hAnsi="Arial" w:cs="Arial"/>
          <w:lang w:val="en-GB"/>
        </w:rPr>
        <w:t>​</w:t>
      </w:r>
    </w:p>
    <w:p w14:paraId="69A92663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Cooperation and Information</w:t>
      </w:r>
      <w:r w:rsidRPr="00420F2A">
        <w:rPr>
          <w:lang w:val="en-GB"/>
        </w:rPr>
        <w:t xml:space="preserve">: DGSs must cooperate across borders within the EU, and credit institutions must inform depositors about the DGS protecting their deposits. </w:t>
      </w:r>
      <w:r w:rsidRPr="00420F2A">
        <w:rPr>
          <w:rFonts w:ascii="Arial" w:hAnsi="Arial" w:cs="Arial"/>
          <w:lang w:val="en-GB"/>
        </w:rPr>
        <w:t>​</w:t>
      </w:r>
      <w:r w:rsidRPr="00420F2A">
        <w:rPr>
          <w:lang w:val="en-GB"/>
        </w:rPr>
        <w:t xml:space="preserve"> Information must be clear and provided in the depositor's language. </w:t>
      </w:r>
      <w:r w:rsidRPr="00420F2A">
        <w:rPr>
          <w:rFonts w:ascii="Arial" w:hAnsi="Arial" w:cs="Arial"/>
          <w:lang w:val="en-GB"/>
        </w:rPr>
        <w:t>​</w:t>
      </w:r>
    </w:p>
    <w:p w14:paraId="19329496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Supervision and Governance</w:t>
      </w:r>
      <w:r w:rsidRPr="00420F2A">
        <w:rPr>
          <w:lang w:val="en-GB"/>
        </w:rPr>
        <w:t xml:space="preserve">: Member States must ensure that DGSs have sound governance practices, perform regular stress tests, and produce annual reports on their activities. </w:t>
      </w:r>
      <w:r w:rsidRPr="00420F2A">
        <w:rPr>
          <w:rFonts w:ascii="Arial" w:hAnsi="Arial" w:cs="Arial"/>
          <w:lang w:val="en-GB"/>
        </w:rPr>
        <w:t>​</w:t>
      </w:r>
    </w:p>
    <w:p w14:paraId="447AF231" w14:textId="77777777" w:rsidR="00420F2A" w:rsidRPr="00420F2A" w:rsidRDefault="00420F2A" w:rsidP="00420F2A">
      <w:pPr>
        <w:numPr>
          <w:ilvl w:val="0"/>
          <w:numId w:val="1"/>
        </w:numPr>
        <w:rPr>
          <w:lang w:val="en-GB"/>
        </w:rPr>
      </w:pPr>
      <w:r w:rsidRPr="00420F2A">
        <w:rPr>
          <w:b/>
          <w:bCs/>
          <w:lang w:val="en-GB"/>
        </w:rPr>
        <w:t>Transitional Provisions</w:t>
      </w:r>
      <w:r w:rsidRPr="00420F2A">
        <w:rPr>
          <w:lang w:val="en-GB"/>
        </w:rPr>
        <w:t xml:space="preserve">: Member States have specific deadlines for transposing the directive into national law and ensuring compliance with its provisions. </w:t>
      </w:r>
      <w:r w:rsidRPr="00420F2A">
        <w:rPr>
          <w:rFonts w:ascii="Arial" w:hAnsi="Arial" w:cs="Arial"/>
          <w:lang w:val="en-GB"/>
        </w:rPr>
        <w:t>​</w:t>
      </w:r>
    </w:p>
    <w:p w14:paraId="3BAA2861" w14:textId="77777777" w:rsidR="00420F2A" w:rsidRPr="00420F2A" w:rsidRDefault="00420F2A" w:rsidP="00420F2A">
      <w:pPr>
        <w:rPr>
          <w:lang w:val="en-GB"/>
        </w:rPr>
      </w:pPr>
      <w:r w:rsidRPr="00420F2A">
        <w:rPr>
          <w:lang w:val="en-GB"/>
        </w:rPr>
        <w:t xml:space="preserve">The directive aims to enhance depositor confidence, ensure a uniform level of protection across the </w:t>
      </w:r>
      <w:proofErr w:type="gramStart"/>
      <w:r w:rsidRPr="00420F2A">
        <w:rPr>
          <w:lang w:val="en-GB"/>
        </w:rPr>
        <w:t>EU, and</w:t>
      </w:r>
      <w:proofErr w:type="gramEnd"/>
      <w:r w:rsidRPr="00420F2A">
        <w:rPr>
          <w:lang w:val="en-GB"/>
        </w:rPr>
        <w:t xml:space="preserve"> contribute to the stability of the financial system. </w:t>
      </w:r>
    </w:p>
    <w:p w14:paraId="0B00D9DF" w14:textId="77777777" w:rsidR="00593A7D" w:rsidRPr="00420F2A" w:rsidRDefault="00593A7D">
      <w:pPr>
        <w:rPr>
          <w:lang w:val="en-GB"/>
        </w:rPr>
      </w:pPr>
    </w:p>
    <w:sectPr w:rsidR="00593A7D" w:rsidRPr="0042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D7D76"/>
    <w:multiLevelType w:val="multilevel"/>
    <w:tmpl w:val="E6D6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72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A"/>
    <w:rsid w:val="00054B4F"/>
    <w:rsid w:val="00184280"/>
    <w:rsid w:val="00420F2A"/>
    <w:rsid w:val="004E2AD4"/>
    <w:rsid w:val="005279FA"/>
    <w:rsid w:val="00553BE4"/>
    <w:rsid w:val="00593A7D"/>
    <w:rsid w:val="00674653"/>
    <w:rsid w:val="0085719D"/>
    <w:rsid w:val="0092231A"/>
    <w:rsid w:val="009504FE"/>
    <w:rsid w:val="00A91B61"/>
    <w:rsid w:val="00E5258E"/>
    <w:rsid w:val="00F1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C58"/>
  <w15:chartTrackingRefBased/>
  <w15:docId w15:val="{2C7FAD0A-A956-4846-A0C0-29E1B6A2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1</cp:revision>
  <dcterms:created xsi:type="dcterms:W3CDTF">2025-01-22T13:51:00Z</dcterms:created>
  <dcterms:modified xsi:type="dcterms:W3CDTF">2025-01-22T19:42:00Z</dcterms:modified>
</cp:coreProperties>
</file>