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2B1585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D84784A" wp14:editId="5E07B76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57C32" id="Straight Connector 4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13C275" wp14:editId="3617ECC1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25FBF" id="Straight Connector 5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E27151" wp14:editId="60221C05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B112E" id="Straight Connector 7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99E5BA" wp14:editId="060ED85B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7609" id="Straight Connector 6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49988405"/>
      <w:r w:rsidRPr="000B3A22">
        <w:t>Resumo</w:t>
      </w:r>
      <w:bookmarkEnd w:id="0"/>
    </w:p>
    <w:p w14:paraId="7642F641" w14:textId="71F8DA8B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plug-in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755BB7">
        <w:t>O desenvolvimento deste</w:t>
      </w:r>
      <w:bookmarkStart w:id="1" w:name="_GoBack"/>
      <w:bookmarkEnd w:id="1"/>
      <w:r w:rsidR="00E81A0F">
        <w:t xml:space="preserve"> </w:t>
      </w:r>
      <w:r w:rsidR="00755BB7">
        <w:t>plug-in</w:t>
      </w:r>
      <w:r w:rsidR="00E81A0F">
        <w:t xml:space="preserve">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030428F2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>Processador PDS16; Assembly</w:t>
      </w:r>
      <w:r w:rsidR="003478B6">
        <w:t xml:space="preserve">; </w:t>
      </w:r>
      <w:r w:rsidR="00ED41F9">
        <w:t>Xtext</w:t>
      </w:r>
      <w:r w:rsidR="003478B6">
        <w:t>;</w:t>
      </w:r>
      <w:r w:rsidR="007B26FF">
        <w:t xml:space="preserve"> Eclipse;</w:t>
      </w:r>
      <w:r w:rsidR="003478B6">
        <w:t xml:space="preserve"> </w:t>
      </w:r>
      <w:r w:rsidR="00A75596">
        <w:t>Plug-in</w:t>
      </w:r>
      <w:r w:rsidR="00755BB7">
        <w:t>.</w:t>
      </w:r>
      <w:r w:rsidR="003F38CC">
        <w:t xml:space="preserve"> </w:t>
      </w:r>
      <w:bookmarkStart w:id="2" w:name="_Toc417073314"/>
      <w:bookmarkStart w:id="3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4" w:name="_Toc449988406"/>
      <w:r w:rsidRPr="00AB0EC2">
        <w:lastRenderedPageBreak/>
        <w:t>Índice</w:t>
      </w:r>
      <w:bookmarkEnd w:id="2"/>
      <w:bookmarkEnd w:id="3"/>
      <w:bookmarkEnd w:id="4"/>
    </w:p>
    <w:p w14:paraId="0EE39E5B" w14:textId="77777777" w:rsidR="00755BB7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88405" w:history="1">
        <w:r w:rsidR="00755BB7" w:rsidRPr="000E343B">
          <w:rPr>
            <w:rStyle w:val="Hiperligao"/>
            <w:noProof/>
          </w:rPr>
          <w:t>Resumo</w:t>
        </w:r>
        <w:r w:rsidR="00755BB7">
          <w:rPr>
            <w:noProof/>
            <w:webHidden/>
          </w:rPr>
          <w:tab/>
        </w:r>
        <w:r w:rsidR="00755BB7">
          <w:rPr>
            <w:noProof/>
            <w:webHidden/>
          </w:rPr>
          <w:fldChar w:fldCharType="begin"/>
        </w:r>
        <w:r w:rsidR="00755BB7">
          <w:rPr>
            <w:noProof/>
            <w:webHidden/>
          </w:rPr>
          <w:instrText xml:space="preserve"> PAGEREF _Toc449988405 \h </w:instrText>
        </w:r>
        <w:r w:rsidR="00755BB7">
          <w:rPr>
            <w:noProof/>
            <w:webHidden/>
          </w:rPr>
        </w:r>
        <w:r w:rsidR="00755BB7"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v</w:t>
        </w:r>
        <w:r w:rsidR="00755BB7">
          <w:rPr>
            <w:noProof/>
            <w:webHidden/>
          </w:rPr>
          <w:fldChar w:fldCharType="end"/>
        </w:r>
      </w:hyperlink>
    </w:p>
    <w:p w14:paraId="4D3ED0EA" w14:textId="77777777" w:rsidR="00755BB7" w:rsidRDefault="00755BB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06" w:history="1">
        <w:r w:rsidRPr="000E343B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DE18243" w14:textId="77777777" w:rsidR="00755BB7" w:rsidRDefault="00755BB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07" w:history="1">
        <w:r w:rsidRPr="000E343B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F4F3BB3" w14:textId="77777777" w:rsidR="00755BB7" w:rsidRDefault="00755BB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08" w:history="1">
        <w:r w:rsidRPr="000E343B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DB22981" w14:textId="77777777" w:rsidR="00755BB7" w:rsidRDefault="00755BB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09" w:history="1">
        <w:r w:rsidRPr="000E343B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EF0DC9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10" w:history="1">
        <w:r w:rsidRPr="000E343B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F09C48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11" w:history="1">
        <w:r w:rsidRPr="000E343B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A83BD8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12" w:history="1">
        <w:r w:rsidRPr="000E343B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0C7E1A" w14:textId="77777777" w:rsidR="00755BB7" w:rsidRDefault="00755BB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13" w:history="1">
        <w:r w:rsidRPr="000E343B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PDS16 DSL – Linguagem de Domínio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E5A80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14" w:history="1">
        <w:r w:rsidRPr="000E343B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F2BD09" w14:textId="77777777" w:rsidR="00755BB7" w:rsidRDefault="00755BB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88415" w:history="1">
        <w:r w:rsidRPr="000E343B">
          <w:rPr>
            <w:rStyle w:val="Hiperligao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Acesso a memória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4AE89F" w14:textId="77777777" w:rsidR="00755BB7" w:rsidRDefault="00755BB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88416" w:history="1">
        <w:r w:rsidRPr="000E343B">
          <w:rPr>
            <w:rStyle w:val="Hiperligao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CAFA3F" w14:textId="77777777" w:rsidR="00755BB7" w:rsidRDefault="00755BB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88417" w:history="1">
        <w:r w:rsidRPr="000E343B">
          <w:rPr>
            <w:rStyle w:val="Hiperligao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Controlo de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EF1E99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18" w:history="1">
        <w:r w:rsidRPr="000E343B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75BA02" w14:textId="77777777" w:rsidR="00755BB7" w:rsidRDefault="00755BB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19" w:history="1">
        <w:r w:rsidRPr="000E343B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6DC42F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20" w:history="1">
        <w:r w:rsidRPr="000E343B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Regras (Parser Rules)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0BF04E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21" w:history="1">
        <w:r w:rsidRPr="000E343B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0EA0C6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22" w:history="1">
        <w:r w:rsidRPr="000E343B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Validadores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3AADDD" w14:textId="77777777" w:rsidR="00755BB7" w:rsidRDefault="00755BB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88423" w:history="1">
        <w:r w:rsidRPr="000E343B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Compilador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2CBA45" w14:textId="77777777" w:rsidR="00755BB7" w:rsidRDefault="00755BB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24" w:history="1">
        <w:r w:rsidRPr="000E343B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0E343B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F2D1BE" w14:textId="77777777" w:rsidR="00755BB7" w:rsidRDefault="00755BB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88425" w:history="1">
        <w:r w:rsidRPr="000E343B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5E450F" w14:textId="5937F0EC" w:rsidR="002B1585" w:rsidRDefault="00DA6AB5" w:rsidP="002B1585">
      <w: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5" w:name="_Toc449988407"/>
      <w:r>
        <w:lastRenderedPageBreak/>
        <w:t>Lista de Figuras</w:t>
      </w:r>
      <w:bookmarkEnd w:id="5"/>
    </w:p>
    <w:p w14:paraId="09F83930" w14:textId="77777777" w:rsidR="0005356E" w:rsidRPr="0005356E" w:rsidRDefault="0005356E" w:rsidP="0005356E"/>
    <w:p w14:paraId="1D63E64E" w14:textId="77777777" w:rsidR="00755BB7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988426" w:history="1">
        <w:r w:rsidR="00755BB7" w:rsidRPr="006E4556">
          <w:rPr>
            <w:rStyle w:val="Hiperligao"/>
            <w:noProof/>
          </w:rPr>
          <w:t>Figura 1 – Exemplo de um ciclo de desenvolvimento de um programa/aplicação. [1]</w:t>
        </w:r>
        <w:r w:rsidR="00755BB7">
          <w:rPr>
            <w:noProof/>
            <w:webHidden/>
          </w:rPr>
          <w:tab/>
        </w:r>
        <w:r w:rsidR="00755BB7">
          <w:rPr>
            <w:noProof/>
            <w:webHidden/>
          </w:rPr>
          <w:fldChar w:fldCharType="begin"/>
        </w:r>
        <w:r w:rsidR="00755BB7">
          <w:rPr>
            <w:noProof/>
            <w:webHidden/>
          </w:rPr>
          <w:instrText xml:space="preserve"> PAGEREF _Toc449988426 \h </w:instrText>
        </w:r>
        <w:r w:rsidR="00755BB7">
          <w:rPr>
            <w:noProof/>
            <w:webHidden/>
          </w:rPr>
        </w:r>
        <w:r w:rsidR="00755BB7"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</w:t>
        </w:r>
        <w:r w:rsidR="00755BB7">
          <w:rPr>
            <w:noProof/>
            <w:webHidden/>
          </w:rPr>
          <w:fldChar w:fldCharType="end"/>
        </w:r>
      </w:hyperlink>
    </w:p>
    <w:p w14:paraId="1C870871" w14:textId="77777777" w:rsidR="00755BB7" w:rsidRDefault="00755BB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88427" w:history="1">
        <w:r w:rsidRPr="006E4556">
          <w:rPr>
            <w:rStyle w:val="Hiperligao"/>
            <w:noProof/>
          </w:rPr>
          <w:t>Figura 2 -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5BA32F" w14:textId="77777777" w:rsidR="00755BB7" w:rsidRDefault="00755BB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988428" w:history="1">
        <w:r w:rsidRPr="006E4556">
          <w:rPr>
            <w:rStyle w:val="Hiperligao"/>
            <w:noProof/>
          </w:rPr>
          <w:t>Figura 3 -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8FE42A" w14:textId="77777777" w:rsidR="00755BB7" w:rsidRDefault="00755BB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88429" w:history="1">
        <w:r w:rsidRPr="006E4556">
          <w:rPr>
            <w:rStyle w:val="Hiperligao"/>
            <w:noProof/>
          </w:rPr>
          <w:t>Figura 4 -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3111E6" w14:textId="77777777" w:rsidR="00755BB7" w:rsidRDefault="00755BB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88430" w:history="1">
        <w:r w:rsidRPr="006E4556">
          <w:rPr>
            <w:rStyle w:val="Hiperligao"/>
            <w:noProof/>
          </w:rPr>
          <w:t>Figura 5 -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_Toc449988430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6" w:name="_Toc449988408"/>
      <w:r>
        <w:lastRenderedPageBreak/>
        <w:t>Lista de Tabelas</w:t>
      </w:r>
      <w:bookmarkEnd w:id="6"/>
    </w:p>
    <w:p w14:paraId="6C763052" w14:textId="77777777" w:rsidR="00D47030" w:rsidRPr="00D47030" w:rsidRDefault="00D47030" w:rsidP="00D47030"/>
    <w:p w14:paraId="491CEB8B" w14:textId="77777777" w:rsidR="00755BB7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88431" w:history="1">
        <w:r w:rsidR="00755BB7" w:rsidRPr="009120B7">
          <w:rPr>
            <w:rStyle w:val="Hiperligao"/>
            <w:noProof/>
          </w:rPr>
          <w:t>Tabela 1 - Diagrama de Gantt relativo à previsão da execução do trabalho.</w:t>
        </w:r>
        <w:r w:rsidR="00755BB7">
          <w:rPr>
            <w:noProof/>
            <w:webHidden/>
          </w:rPr>
          <w:tab/>
        </w:r>
        <w:r w:rsidR="00755BB7">
          <w:rPr>
            <w:noProof/>
            <w:webHidden/>
          </w:rPr>
          <w:fldChar w:fldCharType="begin"/>
        </w:r>
        <w:r w:rsidR="00755BB7">
          <w:rPr>
            <w:noProof/>
            <w:webHidden/>
          </w:rPr>
          <w:instrText xml:space="preserve"> PAGEREF _Toc449988431 \h </w:instrText>
        </w:r>
        <w:r w:rsidR="00755BB7">
          <w:rPr>
            <w:noProof/>
            <w:webHidden/>
          </w:rPr>
        </w:r>
        <w:r w:rsidR="00755BB7">
          <w:rPr>
            <w:noProof/>
            <w:webHidden/>
          </w:rPr>
          <w:fldChar w:fldCharType="separate"/>
        </w:r>
        <w:r w:rsidR="008A46DD">
          <w:rPr>
            <w:noProof/>
            <w:webHidden/>
          </w:rPr>
          <w:t>19</w:t>
        </w:r>
        <w:r w:rsidR="00755BB7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7" w:name="_Toc449988409"/>
      <w:r w:rsidRPr="003E5A2E">
        <w:lastRenderedPageBreak/>
        <w:t>Introdução</w:t>
      </w:r>
      <w:bookmarkEnd w:id="7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8" w:name="_Toc449988410"/>
      <w:r>
        <w:t>Enquadramento</w:t>
      </w:r>
      <w:bookmarkEnd w:id="8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8A46DD" w:rsidRPr="006443B1">
        <w:rPr>
          <w:sz w:val="20"/>
        </w:rPr>
        <w:t xml:space="preserve">Figura </w:t>
      </w:r>
      <w:r w:rsidR="008A46DD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BA76EAA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Ref416098483"/>
      <w:bookmarkStart w:id="10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1" w:name="_Ref449974607"/>
      <w:bookmarkStart w:id="12" w:name="_Toc449988426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8A46DD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1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2"/>
    </w:p>
    <w:bookmarkEnd w:id="9"/>
    <w:bookmarkEnd w:id="10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3" w:name="_Toc449988411"/>
      <w:r>
        <w:lastRenderedPageBreak/>
        <w:t>Motivação</w:t>
      </w:r>
      <w:bookmarkEnd w:id="13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4" w:name="_Toc449988412"/>
      <w:r>
        <w:lastRenderedPageBreak/>
        <w:t>Objetivos</w:t>
      </w:r>
      <w:bookmarkEnd w:id="14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6A9681" w14:textId="2BE1005B" w:rsidR="005B0964" w:rsidRDefault="0087283D" w:rsidP="008D2CA0">
      <w:pPr>
        <w:pStyle w:val="Cabealho1"/>
        <w:numPr>
          <w:ilvl w:val="0"/>
          <w:numId w:val="1"/>
        </w:numPr>
      </w:pPr>
      <w:bookmarkStart w:id="15" w:name="_Toc449988413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5"/>
    </w:p>
    <w:p w14:paraId="442A19BB" w14:textId="77777777" w:rsidR="00C006C7" w:rsidRPr="00FC667E" w:rsidRDefault="00C006C7" w:rsidP="00C006C7"/>
    <w:p w14:paraId="1E29EB8F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>
        <w:rPr>
          <w:rFonts w:cs="Times New Roman"/>
        </w:rPr>
        <w:t>,</w:t>
      </w:r>
      <w:r w:rsidRPr="00623627">
        <w:rPr>
          <w:rFonts w:cs="Times New Roman"/>
        </w:rPr>
        <w:t xml:space="preserve"> entre outras, 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493E9182" w14:textId="77777777" w:rsidR="00C006C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006109CA" w14:textId="77777777" w:rsidR="00C006C7" w:rsidRPr="00273501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25C12A87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7E8953F5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566E133" w14:textId="77777777" w:rsidR="00C006C7" w:rsidRPr="00623627" w:rsidRDefault="00C006C7" w:rsidP="00C006C7">
      <w:pPr>
        <w:pStyle w:val="PargrafodaLista"/>
        <w:rPr>
          <w:rFonts w:cs="Times New Roman"/>
        </w:rPr>
      </w:pPr>
    </w:p>
    <w:p w14:paraId="06DA63D5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Como já referido anteriormente, o seu ISA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>, apresentando todas elas a mesma dimensão (16 bits).</w:t>
      </w:r>
    </w:p>
    <w:p w14:paraId="03349110" w14:textId="77777777" w:rsidR="00C006C7" w:rsidRDefault="00C006C7" w:rsidP="00C006C7">
      <w:pPr>
        <w:ind w:firstLine="708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12ADCC83" w14:textId="77777777" w:rsidR="00C006C7" w:rsidRPr="00623627" w:rsidRDefault="00C006C7" w:rsidP="00C006C7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308B6BD3" w14:textId="77777777" w:rsidR="00C006C7" w:rsidRPr="00BD0843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Símbolo: </w:t>
      </w:r>
      <w:r>
        <w:rPr>
          <w:rFonts w:ascii="Times New Roman" w:hAnsi="Times New Roman" w:cs="Times New Roman"/>
          <w:sz w:val="22"/>
          <w:szCs w:val="22"/>
        </w:rPr>
        <w:t xml:space="preserve">Serve para referir o nome </w:t>
      </w:r>
      <w:r w:rsidRPr="00BD0843">
        <w:rPr>
          <w:rFonts w:ascii="Times New Roman" w:hAnsi="Times New Roman" w:cs="Times New Roman"/>
          <w:sz w:val="22"/>
          <w:szCs w:val="22"/>
        </w:rPr>
        <w:t>de  uma variável, uma constante ou um endereço</w:t>
      </w:r>
      <w:r>
        <w:rPr>
          <w:rFonts w:ascii="Times New Roman" w:hAnsi="Times New Roman" w:cs="Times New Roman"/>
          <w:sz w:val="22"/>
          <w:szCs w:val="22"/>
        </w:rPr>
        <w:t xml:space="preserve"> da memória</w:t>
      </w:r>
      <w:r w:rsidRPr="00BD0843">
        <w:rPr>
          <w:rFonts w:ascii="Times New Roman" w:hAnsi="Times New Roman" w:cs="Times New Roman"/>
          <w:sz w:val="22"/>
          <w:szCs w:val="22"/>
        </w:rPr>
        <w:t>, sendo que se trata de uma palavra, única no documento, seguida de “:”</w:t>
      </w:r>
    </w:p>
    <w:p w14:paraId="6FB44AE7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72AA642B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0DD1C753" w14:textId="089845F1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64E29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64E29">
        <w:rPr>
          <w:rFonts w:ascii="Times New Roman" w:hAnsi="Times New Roman" w:cs="Times New Roman"/>
          <w:sz w:val="22"/>
          <w:szCs w:val="22"/>
        </w:rPr>
        <w:t>O compilador ignora os seus caracteres. Existem 2 tipos de comentários: 1) comentário de linha: inicializado pelo caracter “;”</w:t>
      </w:r>
      <w:r>
        <w:rPr>
          <w:rFonts w:ascii="Times New Roman" w:hAnsi="Times New Roman" w:cs="Times New Roman"/>
          <w:sz w:val="22"/>
          <w:szCs w:val="22"/>
        </w:rPr>
        <w:t xml:space="preserve"> e que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 todos os caracteres até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464E29">
        <w:rPr>
          <w:rFonts w:ascii="Times New Roman" w:hAnsi="Times New Roman" w:cs="Times New Roman"/>
          <w:sz w:val="22"/>
          <w:szCs w:val="22"/>
        </w:rPr>
        <w:t>á mudança de linha; 2) c</w:t>
      </w:r>
      <w:r>
        <w:rPr>
          <w:rFonts w:ascii="Times New Roman" w:hAnsi="Times New Roman" w:cs="Times New Roman"/>
          <w:sz w:val="22"/>
          <w:szCs w:val="22"/>
        </w:rPr>
        <w:t>omentário em bloco,</w:t>
      </w:r>
      <w:r w:rsidRPr="00464E29">
        <w:rPr>
          <w:rFonts w:ascii="Times New Roman" w:hAnsi="Times New Roman" w:cs="Times New Roman"/>
          <w:sz w:val="22"/>
          <w:szCs w:val="22"/>
        </w:rPr>
        <w:t xml:space="preserve"> inicializado por “/*” e terminado por “*/”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</w:t>
      </w:r>
      <w:r>
        <w:rPr>
          <w:rFonts w:ascii="Times New Roman" w:hAnsi="Times New Roman" w:cs="Times New Roman"/>
          <w:sz w:val="22"/>
          <w:szCs w:val="22"/>
        </w:rPr>
        <w:t>ndo</w:t>
      </w:r>
      <w:r w:rsidRPr="00464E29">
        <w:rPr>
          <w:rFonts w:ascii="Times New Roman" w:hAnsi="Times New Roman" w:cs="Times New Roman"/>
          <w:sz w:val="22"/>
          <w:szCs w:val="22"/>
        </w:rPr>
        <w:t xml:space="preserve"> todos os caracteres entre eles. </w:t>
      </w:r>
    </w:p>
    <w:p w14:paraId="54BFD5F6" w14:textId="77777777" w:rsidR="00C006C7" w:rsidRDefault="00C006C7">
      <w:pPr>
        <w:spacing w:after="200" w:line="276" w:lineRule="auto"/>
        <w:jc w:val="left"/>
        <w:rPr>
          <w:rFonts w:cs="Times New Roman"/>
          <w:color w:val="000000"/>
        </w:rPr>
      </w:pPr>
      <w:r>
        <w:rPr>
          <w:rFonts w:cs="Times New Roman"/>
        </w:rPr>
        <w:br w:type="page"/>
      </w:r>
    </w:p>
    <w:p w14:paraId="24611CA9" w14:textId="29AF5E37" w:rsidR="003D3389" w:rsidRPr="00C006C7" w:rsidRDefault="003D3389" w:rsidP="00C006C7">
      <w:pPr>
        <w:pStyle w:val="Cabealho2"/>
        <w:numPr>
          <w:ilvl w:val="1"/>
          <w:numId w:val="23"/>
        </w:numPr>
      </w:pPr>
      <w:bookmarkStart w:id="16" w:name="_Toc449988414"/>
      <w:r w:rsidRPr="00C006C7">
        <w:lastRenderedPageBreak/>
        <w:t>Instruções</w:t>
      </w:r>
      <w:bookmarkEnd w:id="16"/>
    </w:p>
    <w:p w14:paraId="3C955393" w14:textId="742F43A5" w:rsidR="006F0772" w:rsidRDefault="006F0772" w:rsidP="00C006C7">
      <w:pPr>
        <w:pStyle w:val="Cabealho3"/>
        <w:numPr>
          <w:ilvl w:val="2"/>
          <w:numId w:val="23"/>
        </w:numPr>
      </w:pPr>
      <w:bookmarkStart w:id="17" w:name="_Toc449988415"/>
      <w:r>
        <w:t>Acesso a memória</w:t>
      </w:r>
      <w:r w:rsidR="005845BE">
        <w:t xml:space="preserve"> de dados</w:t>
      </w:r>
      <w:bookmarkEnd w:id="17"/>
    </w:p>
    <w:p w14:paraId="47B40A1D" w14:textId="77777777" w:rsidR="006F0772" w:rsidRDefault="006F0772" w:rsidP="006F0772"/>
    <w:p w14:paraId="60F4E0F6" w14:textId="77777777"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2D6722D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Nestas instruções de transferência de </w:t>
      </w:r>
      <w:r w:rsidR="005845BE">
        <w:rPr>
          <w:rFonts w:cs="Times New Roman"/>
        </w:rPr>
        <w:t xml:space="preserve">dados entre o banco de registos e a </w:t>
      </w:r>
      <w:r w:rsidR="005845BE" w:rsidRPr="006F0772">
        <w:rPr>
          <w:rFonts w:cs="Times New Roman"/>
        </w:rPr>
        <w:t>memória, caso se p</w:t>
      </w:r>
      <w:r w:rsidR="005845BE">
        <w:rPr>
          <w:rFonts w:cs="Times New Roman"/>
        </w:rPr>
        <w:t>r</w:t>
      </w:r>
      <w:r w:rsidR="005845BE" w:rsidRPr="006F0772">
        <w:rPr>
          <w:rFonts w:cs="Times New Roman"/>
        </w:rPr>
        <w:t xml:space="preserve">etenda o acesso ao byte e não </w:t>
      </w:r>
      <w:r w:rsidR="005845BE">
        <w:rPr>
          <w:rFonts w:cs="Times New Roman"/>
        </w:rPr>
        <w:t>à palavra</w:t>
      </w:r>
      <w:r w:rsidR="005845BE" w:rsidRPr="006F0772">
        <w:rPr>
          <w:rFonts w:cs="Times New Roman"/>
        </w:rPr>
        <w:t xml:space="preserve">, deverá acrescentar-se o caracter “b”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direita da mnemónica.</w:t>
      </w:r>
    </w:p>
    <w:p w14:paraId="68AFA9E1" w14:textId="77777777" w:rsidR="006F0772" w:rsidRPr="006F0772" w:rsidRDefault="005845BE" w:rsidP="006F0772">
      <w:pPr>
        <w:rPr>
          <w:rFonts w:cs="Times New Roman"/>
        </w:rPr>
      </w:pPr>
      <w:r>
        <w:rPr>
          <w:rFonts w:cs="Times New Roman"/>
        </w:rPr>
        <w:tab/>
      </w: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15038A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14:paraId="5F35A710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2856FA2A" w14:textId="77777777" w:rsidR="006F0772" w:rsidRPr="006F0772" w:rsidRDefault="006F0772" w:rsidP="006F0772">
      <w:pPr>
        <w:pStyle w:val="PargrafodaLista"/>
        <w:rPr>
          <w:rFonts w:cs="Times New Roman"/>
        </w:rPr>
      </w:pPr>
    </w:p>
    <w:p w14:paraId="2BC7DF9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O acesso direto trata-se de instruções que acedem exatamente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posição de memória indicada no seu operando:</w:t>
      </w:r>
    </w:p>
    <w:p w14:paraId="2DD8B45D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6D8C22D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3421376C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7957EF64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3D87C24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1C349D1F" w14:textId="77777777" w:rsidR="005845BE" w:rsidRPr="006F0772" w:rsidRDefault="005845BE" w:rsidP="005845BE">
      <w:pPr>
        <w:ind w:firstLine="284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297C6FC0" w14:textId="77777777" w:rsidR="00BB3908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25D7E926" w14:textId="77777777" w:rsidR="00BB3908" w:rsidRDefault="00BB3908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182CD2" w14:textId="5E802D09" w:rsidR="006F0772" w:rsidRDefault="006F0772" w:rsidP="000B4F21">
      <w:pPr>
        <w:pStyle w:val="Cabealho3"/>
        <w:numPr>
          <w:ilvl w:val="2"/>
          <w:numId w:val="25"/>
        </w:numPr>
      </w:pPr>
      <w:bookmarkStart w:id="18" w:name="_Toc449988416"/>
      <w:r>
        <w:lastRenderedPageBreak/>
        <w:t>Processamento de Dados</w:t>
      </w:r>
      <w:bookmarkEnd w:id="18"/>
    </w:p>
    <w:p w14:paraId="257C6236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FD07701" w14:textId="77777777" w:rsidR="00BB3908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 w:rsidRPr="006F0772">
        <w:rPr>
          <w:rFonts w:cs="Times New Roman"/>
        </w:rPr>
        <w:t>Estas instruções têm como objetivo o processamento dos dados através de operações aritméticas</w:t>
      </w:r>
      <w:r w:rsidR="00BB3908" w:rsidRPr="006F0772" w:rsidDel="00A022F2">
        <w:rPr>
          <w:rFonts w:cs="Times New Roman"/>
        </w:rPr>
        <w:t xml:space="preserve"> </w:t>
      </w:r>
      <w:r w:rsidR="00BB3908" w:rsidRPr="006F0772">
        <w:rPr>
          <w:rFonts w:cs="Times New Roman"/>
        </w:rPr>
        <w:t>ou l</w:t>
      </w:r>
      <w:r w:rsidR="00BB3908">
        <w:rPr>
          <w:rFonts w:cs="Times New Roman"/>
        </w:rPr>
        <w:t>ó</w:t>
      </w:r>
      <w:r w:rsidR="00BB3908" w:rsidRPr="006F0772">
        <w:rPr>
          <w:rFonts w:cs="Times New Roman"/>
        </w:rPr>
        <w:t>gicas</w:t>
      </w:r>
      <w:r w:rsidR="00BB3908">
        <w:rPr>
          <w:rFonts w:cs="Times New Roman"/>
        </w:rPr>
        <w:t xml:space="preserve">. Com exceção da instrução </w:t>
      </w:r>
      <w:r w:rsidR="00BB3908" w:rsidRPr="00AB6550">
        <w:rPr>
          <w:rFonts w:ascii="Courier New" w:hAnsi="Courier New" w:cs="Courier New"/>
        </w:rPr>
        <w:t>NOT</w:t>
      </w:r>
      <w:r w:rsidR="00BB3908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BB3908" w:rsidRPr="00AB6550">
        <w:rPr>
          <w:rFonts w:ascii="Courier New" w:hAnsi="Courier New" w:cs="Courier New"/>
        </w:rPr>
        <w:t>ADD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SUB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ADC</w:t>
      </w:r>
      <w:r w:rsidR="00BB3908">
        <w:rPr>
          <w:rFonts w:cs="Times New Roman"/>
        </w:rPr>
        <w:t xml:space="preserve"> e </w:t>
      </w:r>
      <w:r w:rsidR="00BB3908" w:rsidRPr="00AB6550">
        <w:rPr>
          <w:rFonts w:ascii="Courier New" w:hAnsi="Courier New" w:cs="Courier New"/>
        </w:rPr>
        <w:t>SBB</w:t>
      </w:r>
      <w:r w:rsidR="00BB3908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BB3908" w:rsidRPr="006F0772">
        <w:rPr>
          <w:rFonts w:cs="Times New Roman"/>
        </w:rPr>
        <w:t xml:space="preserve">. </w:t>
      </w:r>
    </w:p>
    <w:p w14:paraId="6B721C7B" w14:textId="77777777" w:rsidR="00BB3908" w:rsidRPr="006F0772" w:rsidRDefault="00BB3908" w:rsidP="00BB3908">
      <w:pPr>
        <w:ind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13BB8097" w14:textId="77777777" w:rsidR="00BB3908" w:rsidRDefault="00BB3908" w:rsidP="00BB3908">
      <w:pPr>
        <w:ind w:firstLine="284"/>
        <w:rPr>
          <w:rFonts w:cs="Times New Roman"/>
        </w:rPr>
      </w:pPr>
    </w:p>
    <w:p w14:paraId="1B40D588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214C907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114FA2DE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3727CC81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0CDD5100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21792234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3F21D705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1042A227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675362A5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7BC271AB" w14:textId="77777777" w:rsidR="008D2CA0" w:rsidRDefault="00BB3908" w:rsidP="00BB3908">
      <w:pPr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4593AFBB" w14:textId="77777777" w:rsidR="00D90070" w:rsidRDefault="00D90070" w:rsidP="00BB3908">
      <w:pPr>
        <w:rPr>
          <w:rFonts w:cs="Times New Roman"/>
        </w:rPr>
        <w:sectPr w:rsidR="00D9007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4997B7" w14:textId="4F1126DB" w:rsidR="006F0772" w:rsidRDefault="006F0772" w:rsidP="000B4F21">
      <w:pPr>
        <w:pStyle w:val="Cabealho3"/>
        <w:numPr>
          <w:ilvl w:val="2"/>
          <w:numId w:val="25"/>
        </w:numPr>
      </w:pPr>
      <w:bookmarkStart w:id="19" w:name="_Toc449988417"/>
      <w:r>
        <w:lastRenderedPageBreak/>
        <w:t>Controlo de Fluxo</w:t>
      </w:r>
      <w:r w:rsidR="00BB3908">
        <w:t xml:space="preserve"> de Execução</w:t>
      </w:r>
      <w:bookmarkEnd w:id="19"/>
    </w:p>
    <w:p w14:paraId="7F4E06A4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6F61C680" w14:textId="77777777" w:rsidR="00BB3908" w:rsidRPr="006F0772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>
        <w:rPr>
          <w:rFonts w:cs="Times New Roman"/>
        </w:rPr>
        <w:t xml:space="preserve">Independentemente da natureza da instrução de salto considerada, i.e. salto incondicional ou salto condicional, 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esquema de endereçamento subjacente é sempre o mesmo: </w:t>
      </w:r>
      <w:r w:rsidR="00BB3908" w:rsidRPr="006F0772">
        <w:rPr>
          <w:rFonts w:cs="Times New Roman"/>
        </w:rPr>
        <w:t>endereç</w:t>
      </w:r>
      <w:r w:rsidR="00BB3908">
        <w:rPr>
          <w:rFonts w:cs="Times New Roman"/>
        </w:rPr>
        <w:t>amento baseado e indexado, conseguid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à custa da </w:t>
      </w:r>
      <w:r w:rsidR="00BB3908" w:rsidRPr="006F0772">
        <w:rPr>
          <w:rFonts w:cs="Times New Roman"/>
        </w:rPr>
        <w:t xml:space="preserve">soma </w:t>
      </w:r>
      <w:r w:rsidR="00BB3908">
        <w:rPr>
          <w:rFonts w:cs="Times New Roman"/>
        </w:rPr>
        <w:t xml:space="preserve">de </w:t>
      </w:r>
      <w:r w:rsidR="00BB3908" w:rsidRPr="006F0772">
        <w:rPr>
          <w:rFonts w:cs="Times New Roman"/>
        </w:rPr>
        <w:t xml:space="preserve">uma constante </w:t>
      </w:r>
      <w:r w:rsidR="00BB3908">
        <w:rPr>
          <w:rFonts w:cs="Times New Roman"/>
        </w:rPr>
        <w:t>de 8 bits a</w:t>
      </w:r>
      <w:r w:rsidR="00BB3908" w:rsidRPr="006F0772">
        <w:rPr>
          <w:rFonts w:cs="Times New Roman"/>
        </w:rPr>
        <w:t xml:space="preserve"> um </w:t>
      </w:r>
      <w:r w:rsidR="00BB3908">
        <w:rPr>
          <w:rFonts w:cs="Times New Roman"/>
        </w:rPr>
        <w:t xml:space="preserve">dos oito </w:t>
      </w:r>
      <w:r w:rsidR="00BB3908" w:rsidRPr="006F0772">
        <w:rPr>
          <w:rFonts w:cs="Times New Roman"/>
        </w:rPr>
        <w:t>registo</w:t>
      </w:r>
      <w:r w:rsidR="00BB3908">
        <w:rPr>
          <w:rFonts w:cs="Times New Roman"/>
        </w:rPr>
        <w:t>s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>do processador</w:t>
      </w:r>
      <w:r w:rsidR="00BB3908" w:rsidRPr="006F0772">
        <w:rPr>
          <w:rFonts w:cs="Times New Roman"/>
        </w:rPr>
        <w:t xml:space="preserve">. Esta </w:t>
      </w:r>
      <w:r w:rsidR="00BB3908">
        <w:rPr>
          <w:rFonts w:cs="Times New Roman"/>
        </w:rPr>
        <w:t xml:space="preserve">constante, codificada em código dos complementos, </w:t>
      </w:r>
      <w:r w:rsidR="00BB3908" w:rsidRPr="006F0772">
        <w:rPr>
          <w:rFonts w:cs="Times New Roman"/>
        </w:rPr>
        <w:t xml:space="preserve">é </w:t>
      </w:r>
      <w:r w:rsidR="00BB3908">
        <w:rPr>
          <w:rFonts w:cs="Times New Roman"/>
        </w:rPr>
        <w:t xml:space="preserve">previamente </w:t>
      </w:r>
      <w:r w:rsidR="00BB3908" w:rsidRPr="006F0772">
        <w:rPr>
          <w:rFonts w:cs="Times New Roman"/>
        </w:rPr>
        <w:t>multiplicada por 2, uma vês que representa o número de instruções a saltar.</w:t>
      </w:r>
    </w:p>
    <w:p w14:paraId="15090AB9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16ED162E" w14:textId="77777777" w:rsidR="00BB3908" w:rsidRPr="00BB3908" w:rsidRDefault="00BB3908" w:rsidP="00BB3908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20789451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4CDEA458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1453914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64F9D577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F7F33A9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085BCD54" w14:textId="77777777" w:rsidR="008D2CA0" w:rsidRDefault="008D2CA0" w:rsidP="00BB3908">
      <w:pPr>
        <w:rPr>
          <w:rFonts w:cs="Times New Roman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89EF13" w14:textId="12A346FE" w:rsidR="00BB3908" w:rsidRDefault="00BB3908" w:rsidP="000B4F21">
      <w:pPr>
        <w:pStyle w:val="Cabealho2"/>
        <w:numPr>
          <w:ilvl w:val="1"/>
          <w:numId w:val="25"/>
        </w:numPr>
      </w:pPr>
      <w:bookmarkStart w:id="20" w:name="_Toc449988418"/>
      <w:r>
        <w:lastRenderedPageBreak/>
        <w:t>Diretivas</w:t>
      </w:r>
      <w:bookmarkEnd w:id="20"/>
    </w:p>
    <w:p w14:paraId="1A1B76D2" w14:textId="77777777" w:rsidR="00C47A49" w:rsidRDefault="002249EA" w:rsidP="002249EA">
      <w:r>
        <w:tab/>
        <w:t xml:space="preserve">Com o intuito de organizar o código existem as </w:t>
      </w:r>
      <w:commentRangeStart w:id="21"/>
      <w:r>
        <w:t>diretivas</w:t>
      </w:r>
      <w:sdt>
        <w:sdtPr>
          <w:id w:val="-607501218"/>
          <w:citation/>
        </w:sdtPr>
        <w:sdtEndPr/>
        <w:sdtContent>
          <w:r w:rsidR="00BB3908">
            <w:fldChar w:fldCharType="begin"/>
          </w:r>
          <w:r w:rsidR="00BB3908">
            <w:instrText xml:space="preserve"> CITATION Jos \l 2070 </w:instrText>
          </w:r>
          <w:r w:rsidR="00BB3908">
            <w:fldChar w:fldCharType="separate"/>
          </w:r>
          <w:r w:rsidR="00BB3908">
            <w:rPr>
              <w:noProof/>
            </w:rPr>
            <w:t xml:space="preserve"> </w:t>
          </w:r>
          <w:r w:rsidR="00BB3908" w:rsidRPr="001C714F">
            <w:rPr>
              <w:noProof/>
            </w:rPr>
            <w:t>[8]</w:t>
          </w:r>
          <w:r w:rsidR="00BB3908">
            <w:fldChar w:fldCharType="end"/>
          </w:r>
        </w:sdtContent>
      </w:sdt>
      <w:commentRangeEnd w:id="21"/>
      <w:r w:rsidR="008F7CFB">
        <w:rPr>
          <w:rStyle w:val="Refdecomentrio"/>
        </w:rPr>
        <w:commentReference w:id="21"/>
      </w:r>
      <w:r>
        <w:t xml:space="preserve">, estas definem as zonas de memória associadas a código ou a dados do programa. As diretivas não só dão corpo e estrutura ao código, mas visam ainda definir símbolos que podem ser utilizados como constantes dos programas. </w:t>
      </w:r>
    </w:p>
    <w:p w14:paraId="0A4C21BE" w14:textId="715F2B05" w:rsidR="006F1FD8" w:rsidRPr="00C47A49" w:rsidRDefault="00C47A49" w:rsidP="002249EA">
      <w:r>
        <w:tab/>
        <w:t>Assim a linguagem definiu algumas secções base que são comuns em quase todos os programas:</w:t>
      </w:r>
    </w:p>
    <w:p w14:paraId="25B726E1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7E5B49B2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0F27283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6C3E1427" w14:textId="77777777" w:rsidR="006F1FD8" w:rsidRDefault="006F1FD8" w:rsidP="006F1FD8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497FE07" w14:textId="77777777" w:rsidR="006F1FD8" w:rsidRDefault="006F1FD8" w:rsidP="006F1FD8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75F90EB5" w14:textId="77777777" w:rsidR="006F1FD8" w:rsidRDefault="006F1FD8" w:rsidP="006F1FD8">
      <w:r>
        <w:tab/>
        <w:t>Para ocupar estas posições de memória, para além de instruções, podem ser guardadas variáveis em memória, para isso existem as seguintes diretivas:</w:t>
      </w:r>
    </w:p>
    <w:p w14:paraId="6EB6307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5E6EF34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61775909" w14:textId="13C05674" w:rsidR="006F1FD8" w:rsidRDefault="006F1FD8" w:rsidP="006F1FD8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</w:t>
      </w:r>
      <w:r w:rsidR="008F7CFB">
        <w:t>ero respetivamente</w:t>
      </w:r>
      <w:r>
        <w:t xml:space="preserve"> (8bits por caracter);</w:t>
      </w:r>
    </w:p>
    <w:p w14:paraId="3A9F863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5FD5ACFD" w14:textId="5216E734" w:rsidR="000B4F21" w:rsidRPr="002B1585" w:rsidRDefault="008F7CFB" w:rsidP="008F7CFB">
      <w:r>
        <w:tab/>
      </w:r>
      <w:r w:rsidR="006F1FD8">
        <w:t>Existe também a possibilidade de serem atribuídos valores a símbolos através das diretivas “.EQU” e “.SET”, sendo que a primeira é atribuído de forma permanente e o segundo temporária.</w:t>
      </w:r>
      <w:r w:rsidR="002B1585">
        <w:t xml:space="preserve"> </w:t>
      </w:r>
    </w:p>
    <w:p w14:paraId="12E5C061" w14:textId="77777777" w:rsidR="002B1585" w:rsidRDefault="002B1585" w:rsidP="008F7CFB">
      <w:pPr>
        <w:rPr>
          <w:i/>
        </w:rPr>
        <w:sectPr w:rsidR="002B1585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8D2CA0">
      <w:pPr>
        <w:pStyle w:val="Cabealho1"/>
        <w:numPr>
          <w:ilvl w:val="0"/>
          <w:numId w:val="25"/>
        </w:numPr>
      </w:pPr>
      <w:bookmarkStart w:id="22" w:name="_Toc449988419"/>
      <w:r w:rsidRPr="008D2CA0">
        <w:lastRenderedPageBreak/>
        <w:t>Framework Xtext</w:t>
      </w:r>
      <w:bookmarkEnd w:id="22"/>
    </w:p>
    <w:p w14:paraId="57C521D8" w14:textId="69706F07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para o desenvolvimento de linguagem de programação, as chamadas DSL, </w:t>
      </w:r>
      <w:r w:rsidRPr="008D2CA0">
        <w:rPr>
          <w:i/>
        </w:rPr>
        <w:t>Domain-Specific Languages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Pr="008D2CA0">
        <w:t xml:space="preserve"> e também através do browser.</w:t>
      </w:r>
    </w:p>
    <w:p w14:paraId="40B0353C" w14:textId="196040BA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 linguagem simples e também ser possível 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5E94767E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usada para a realização de um plug-in para uma linguagem de </w:t>
      </w:r>
      <w:r w:rsidRPr="008D2CA0">
        <w:rPr>
          <w:i/>
        </w:rPr>
        <w:t>assembly</w:t>
      </w:r>
      <w:r w:rsidRPr="008D2CA0">
        <w:t xml:space="preserve"> PDS16. Não havendo nenhum editor de texto para a mesma, comprometemos a usar esta biblioteca. </w:t>
      </w:r>
    </w:p>
    <w:p w14:paraId="24186AC7" w14:textId="0092A00F" w:rsidR="008D2CA0" w:rsidRPr="008D2CA0" w:rsidRDefault="008D2CA0" w:rsidP="008D2CA0">
      <w:r>
        <w:tab/>
      </w:r>
      <w:r w:rsidRPr="008D2CA0">
        <w:t xml:space="preserve">Para começar a trabalhar 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23" w:name="_Toc449964876"/>
      <w:bookmarkStart w:id="24" w:name="_Toc449965015"/>
      <w:bookmarkStart w:id="25" w:name="_Toc449965052"/>
      <w:bookmarkStart w:id="26" w:name="_Toc449965404"/>
      <w:bookmarkStart w:id="27" w:name="_Toc449965522"/>
      <w:bookmarkEnd w:id="23"/>
      <w:bookmarkEnd w:id="24"/>
      <w:bookmarkEnd w:id="25"/>
      <w:bookmarkEnd w:id="26"/>
      <w:bookmarkEnd w:id="27"/>
    </w:p>
    <w:p w14:paraId="60680974" w14:textId="77777777" w:rsidR="008D2CA0" w:rsidRDefault="008D2CA0" w:rsidP="008D2CA0">
      <w:pPr>
        <w:pStyle w:val="Cabealho2"/>
        <w:numPr>
          <w:ilvl w:val="1"/>
          <w:numId w:val="25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45F102" w14:textId="79FC5579" w:rsidR="005B0964" w:rsidRDefault="008B3DFB" w:rsidP="008D2CA0">
      <w:pPr>
        <w:pStyle w:val="Cabealho2"/>
        <w:numPr>
          <w:ilvl w:val="1"/>
          <w:numId w:val="25"/>
        </w:numPr>
      </w:pPr>
      <w:bookmarkStart w:id="28" w:name="_Toc449988420"/>
      <w:r>
        <w:lastRenderedPageBreak/>
        <w:t>Regras (Parser Rules)</w:t>
      </w:r>
      <w:bookmarkEnd w:id="28"/>
    </w:p>
    <w:p w14:paraId="1C3BA063" w14:textId="77777777" w:rsidR="008A0898" w:rsidRDefault="00F40BA6" w:rsidP="00F40BA6">
      <w:pPr>
        <w:ind w:firstLine="708"/>
        <w:rPr>
          <w:rFonts w:cs="Times New Roman"/>
        </w:rPr>
      </w:pPr>
      <w:r w:rsidRPr="00FE0E75">
        <w:rPr>
          <w:rFonts w:cs="Times New Roman"/>
        </w:rPr>
        <w:t>Parser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14:paraId="3684B475" w14:textId="77777777"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214D56CA" wp14:editId="2F07447F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2B7" w14:textId="77777777"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9" w:name="_Toc44998842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8A46DD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9"/>
    </w:p>
    <w:p w14:paraId="07D3D187" w14:textId="77777777"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14:paraId="6419E09D" w14:textId="77777777" w:rsidR="00BC2AB8" w:rsidRDefault="005504FB" w:rsidP="00330005">
      <w:pPr>
        <w:ind w:firstLine="708"/>
        <w:rPr>
          <w:rFonts w:cs="Times New Roman"/>
        </w:rPr>
      </w:pPr>
      <w:r w:rsidRPr="00997103">
        <w:rPr>
          <w:rFonts w:cs="Times New Roman"/>
          <w:i/>
          <w:color w:val="000000"/>
        </w:rPr>
        <w:t>Statement</w:t>
      </w:r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r w:rsidR="00997103">
        <w:rPr>
          <w:rFonts w:cs="Times New Roman"/>
          <w:color w:val="000000"/>
        </w:rPr>
        <w:t>“</w:t>
      </w:r>
      <w:r w:rsidRPr="00997103">
        <w:rPr>
          <w:rFonts w:cs="Times New Roman"/>
          <w:i/>
          <w:color w:val="000000"/>
        </w:rPr>
        <w:t>Label</w:t>
      </w:r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997103">
        <w:rPr>
          <w:rFonts w:cs="Times New Roman"/>
          <w:i/>
          <w:color w:val="000000"/>
        </w:rPr>
        <w:t>labelName</w:t>
      </w:r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iret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Jump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OperationWithOffset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14:paraId="4FCAC632" w14:textId="77777777" w:rsidR="00330005" w:rsidRPr="00330005" w:rsidRDefault="00330005" w:rsidP="00330005">
      <w:pPr>
        <w:ind w:firstLine="708"/>
        <w:rPr>
          <w:rFonts w:cs="Times New Roman"/>
        </w:rPr>
      </w:pPr>
    </w:p>
    <w:p w14:paraId="0ACF903F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2239DE" w14:textId="0FB76CA4" w:rsidR="008B3DFB" w:rsidRDefault="008B3DFB" w:rsidP="000B4F21">
      <w:pPr>
        <w:pStyle w:val="Cabealho2"/>
        <w:numPr>
          <w:ilvl w:val="1"/>
          <w:numId w:val="25"/>
        </w:numPr>
      </w:pPr>
      <w:bookmarkStart w:id="30" w:name="_Toc449988421"/>
      <w:r>
        <w:lastRenderedPageBreak/>
        <w:t>Regras Terminais</w:t>
      </w:r>
      <w:bookmarkEnd w:id="30"/>
    </w:p>
    <w:p w14:paraId="0912BAFD" w14:textId="77777777"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DB900E" wp14:editId="363253B6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9C586C" w14:textId="77777777" w:rsidR="00AE1001" w:rsidRPr="002E5D24" w:rsidRDefault="00AE1001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1" w:name="_Toc44998842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A46DD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B900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14:paraId="7D9C586C" w14:textId="77777777" w:rsidR="00AE1001" w:rsidRPr="002E5D24" w:rsidRDefault="00AE1001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2" w:name="_Toc44998842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A46DD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3C232CD" wp14:editId="0C23B978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r w:rsidR="00791BDC" w:rsidRPr="005856CB">
        <w:rPr>
          <w:rFonts w:cs="Times New Roman"/>
          <w:i/>
          <w:color w:val="000000"/>
        </w:rPr>
        <w:t>tokens rules</w:t>
      </w:r>
      <w:r w:rsidR="00791BDC" w:rsidRPr="00791BDC">
        <w:rPr>
          <w:rFonts w:cs="Times New Roman"/>
          <w:color w:val="000000"/>
        </w:rPr>
        <w:t xml:space="preserve"> ou </w:t>
      </w:r>
      <w:r w:rsidR="00791BDC" w:rsidRPr="005856CB">
        <w:rPr>
          <w:rFonts w:cs="Times New Roman"/>
          <w:i/>
          <w:color w:val="000000"/>
        </w:rPr>
        <w:t>lexer rules</w:t>
      </w:r>
      <w:r w:rsidR="00791BDC" w:rsidRPr="00791BDC">
        <w:rPr>
          <w:rFonts w:cs="Times New Roman"/>
          <w:color w:val="000000"/>
        </w:rPr>
        <w:t xml:space="preserve">. Um terminal pode retornar um tipo, por definição eles retornam sobre a forma de </w:t>
      </w:r>
      <w:r w:rsidR="00791BDC" w:rsidRPr="005856CB">
        <w:rPr>
          <w:rFonts w:cs="Times New Roman"/>
          <w:i/>
          <w:color w:val="000000"/>
        </w:rPr>
        <w:t>String: ecore::EString</w:t>
      </w:r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r w:rsidR="00791BDC" w:rsidRPr="005856CB">
        <w:rPr>
          <w:rFonts w:cs="Times New Roman"/>
          <w:i/>
          <w:color w:val="000000"/>
        </w:rPr>
        <w:t>ecore::EDataType</w:t>
      </w:r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r w:rsidR="00791BDC" w:rsidRPr="005856CB">
        <w:rPr>
          <w:rFonts w:cs="Times New Roman"/>
          <w:i/>
          <w:color w:val="000000"/>
        </w:rPr>
        <w:t>IValueConverter</w:t>
      </w:r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r w:rsidR="00791BDC" w:rsidRPr="005856CB">
        <w:rPr>
          <w:rFonts w:cs="Times New Roman"/>
          <w:i/>
          <w:color w:val="000000"/>
        </w:rPr>
        <w:t>String</w:t>
      </w:r>
      <w:r w:rsidR="00791BDC" w:rsidRPr="00791BDC">
        <w:rPr>
          <w:rFonts w:cs="Times New Roman"/>
          <w:color w:val="000000"/>
        </w:rPr>
        <w:t xml:space="preserve"> para o tipo pretendido.</w:t>
      </w:r>
    </w:p>
    <w:p w14:paraId="2E9C3E5F" w14:textId="77777777" w:rsidR="00A57DB8" w:rsidRDefault="00A57DB8" w:rsidP="00A57DB8">
      <w:pPr>
        <w:rPr>
          <w:rFonts w:cs="Times New Roman"/>
          <w:color w:val="000000"/>
        </w:rPr>
      </w:pPr>
    </w:p>
    <w:p w14:paraId="3B11A0C6" w14:textId="77777777"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 figura 4. </w:t>
      </w:r>
    </w:p>
    <w:p w14:paraId="2E5192BD" w14:textId="77777777"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48000" behindDoc="1" locked="0" layoutInCell="1" allowOverlap="1" wp14:anchorId="518EDFA6" wp14:editId="7126BFD7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72917" w14:textId="77777777"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3" w:name="_Toc44998842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8A46DD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3"/>
    </w:p>
    <w:p w14:paraId="18701553" w14:textId="77777777" w:rsidR="00AF791C" w:rsidRDefault="00AF791C" w:rsidP="00C5566E">
      <w:pPr>
        <w:rPr>
          <w:rFonts w:cs="Times New Roman"/>
          <w:color w:val="000000"/>
        </w:rPr>
      </w:pPr>
    </w:p>
    <w:p w14:paraId="09B378B9" w14:textId="77777777" w:rsidR="008D2CA0" w:rsidRDefault="00C32240" w:rsidP="00AD2623">
      <w:pPr>
        <w:ind w:firstLine="708"/>
        <w:rPr>
          <w:rFonts w:cs="Times New Roman"/>
          <w:color w:val="000000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</w:t>
      </w:r>
      <w:r w:rsidRPr="0071326B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” que </w:t>
      </w:r>
      <w:r w:rsidR="00D938D8">
        <w:rPr>
          <w:rFonts w:cs="Times New Roman"/>
          <w:color w:val="000000"/>
        </w:rPr>
        <w:t>por sua vez retorna uma instância de um “</w:t>
      </w:r>
      <w:r w:rsidR="00D938D8" w:rsidRPr="0071326B">
        <w:rPr>
          <w:rFonts w:cs="Times New Roman"/>
          <w:i/>
          <w:color w:val="000000"/>
        </w:rPr>
        <w:t>ValueConverter</w:t>
      </w:r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r w:rsidRPr="0071326B">
        <w:rPr>
          <w:rFonts w:cs="Times New Roman"/>
          <w:i/>
          <w:color w:val="000000"/>
        </w:rPr>
        <w:t>String</w:t>
      </w:r>
      <w:r>
        <w:rPr>
          <w:rFonts w:cs="Times New Roman"/>
          <w:color w:val="000000"/>
        </w:rPr>
        <w:t xml:space="preserve"> para inteiro.</w:t>
      </w:r>
    </w:p>
    <w:p w14:paraId="101EB627" w14:textId="276B7DA1" w:rsidR="008B3DFB" w:rsidRDefault="008B3DFB" w:rsidP="000B4F21">
      <w:pPr>
        <w:pStyle w:val="Cabealho2"/>
        <w:numPr>
          <w:ilvl w:val="1"/>
          <w:numId w:val="25"/>
        </w:numPr>
      </w:pPr>
      <w:bookmarkStart w:id="34" w:name="_Toc449988422"/>
      <w:r>
        <w:lastRenderedPageBreak/>
        <w:t>Validadores</w:t>
      </w:r>
      <w:bookmarkEnd w:id="34"/>
    </w:p>
    <w:p w14:paraId="053EA141" w14:textId="77777777"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769A8174" wp14:editId="20654424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Xtext permite que sejam feitas essas verificações ao decorrer da escrita do código indicando o erro. Os validadores da </w:t>
      </w:r>
      <w:r w:rsidR="008B7F48" w:rsidRPr="00BB0ECC">
        <w:rPr>
          <w:rFonts w:cs="Times New Roman"/>
          <w:i/>
          <w:color w:val="000000"/>
        </w:rPr>
        <w:t>framework</w:t>
      </w:r>
      <w:r w:rsidR="008B7F48"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="008B7F48"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14:paraId="4EBCFF19" w14:textId="77777777"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35" w:name="_Toc44998843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8A46DD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35"/>
    </w:p>
    <w:p w14:paraId="43933CAC" w14:textId="77777777" w:rsidR="00BC2AB8" w:rsidRPr="00BC2AB8" w:rsidRDefault="00BC2AB8" w:rsidP="00BC2AB8">
      <w:pPr>
        <w:pStyle w:val="PargrafodaLista"/>
        <w:ind w:left="750"/>
      </w:pPr>
    </w:p>
    <w:p w14:paraId="38CD0012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8B5D1E" w14:textId="1B9EDE90" w:rsidR="008B3DFB" w:rsidRDefault="008B3DFB" w:rsidP="000B4F21">
      <w:pPr>
        <w:pStyle w:val="Cabealho2"/>
        <w:numPr>
          <w:ilvl w:val="1"/>
          <w:numId w:val="25"/>
        </w:numPr>
      </w:pPr>
      <w:bookmarkStart w:id="36" w:name="_Toc449988423"/>
      <w:r>
        <w:lastRenderedPageBreak/>
        <w:t>Compilador</w:t>
      </w:r>
      <w:bookmarkEnd w:id="36"/>
    </w:p>
    <w:p w14:paraId="377FF814" w14:textId="77777777" w:rsidR="00BC2AB8" w:rsidRDefault="00BA74EF" w:rsidP="00C07244">
      <w:pPr>
        <w:ind w:firstLine="70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 xml:space="preserve">passando como input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14:paraId="6D3CDC15" w14:textId="77777777" w:rsidR="008D2CA0" w:rsidRDefault="008D2CA0" w:rsidP="008D2CA0">
      <w:pPr>
        <w:pStyle w:val="Cabealho1"/>
        <w:numPr>
          <w:ilvl w:val="0"/>
          <w:numId w:val="2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8D2CA0">
      <w:pPr>
        <w:pStyle w:val="Cabealho1"/>
        <w:numPr>
          <w:ilvl w:val="0"/>
          <w:numId w:val="23"/>
        </w:numPr>
      </w:pPr>
      <w:bookmarkStart w:id="37" w:name="_Toc449988424"/>
      <w:r>
        <w:lastRenderedPageBreak/>
        <w:t>Progresso do Projeto</w:t>
      </w:r>
      <w:bookmarkEnd w:id="37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77777777" w:rsidR="00C81224" w:rsidRDefault="00C81224" w:rsidP="00C81224">
      <w:pPr>
        <w:ind w:firstLine="284"/>
      </w:pPr>
      <w:r w:rsidRPr="00A56C06">
        <w:t xml:space="preserve">Face ao exposto, à data atual prevemos cumprir a calendarização inicialmente definida que se apresenta na </w:t>
      </w:r>
      <w:r>
        <w:fldChar w:fldCharType="begin"/>
      </w:r>
      <w:r>
        <w:instrText xml:space="preserve"> REF _Ref449965883 \h </w:instrText>
      </w:r>
      <w:r>
        <w:fldChar w:fldCharType="separate"/>
      </w:r>
      <w:r w:rsidR="008A46DD">
        <w:rPr>
          <w:b/>
          <w:bCs/>
        </w:rPr>
        <w:t>Erro! A origem da referência não foi encontrada.</w:t>
      </w:r>
      <w:r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8" w:name="_Toc449988431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8A46DD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Gantt relativo à previsão da execução do trabalho.</w:t>
      </w:r>
      <w:bookmarkEnd w:id="38"/>
    </w:p>
    <w:bookmarkStart w:id="39" w:name="_Toc449988425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39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755BB7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755BB7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755BB7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Tiago Oliveira" w:date="2016-05-02T19:10:00Z" w:initials="TO">
    <w:p w14:paraId="78B1AABC" w14:textId="168350F9" w:rsidR="008F7CFB" w:rsidRDefault="008F7CFB" w:rsidP="002249EA">
      <w:pPr>
        <w:pStyle w:val="Textodecomentrio"/>
        <w:jc w:val="center"/>
      </w:pPr>
      <w:r>
        <w:rPr>
          <w:rStyle w:val="Refdecomentrio"/>
        </w:rPr>
        <w:annotationRef/>
      </w:r>
      <w:r>
        <w:t>Falta neste paragrafo fazer a introdução ás secçoes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B1AA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46F29" w14:textId="77777777" w:rsidR="0073710D" w:rsidRDefault="0073710D" w:rsidP="000614E1">
      <w:pPr>
        <w:spacing w:line="240" w:lineRule="auto"/>
      </w:pPr>
      <w:r>
        <w:separator/>
      </w:r>
    </w:p>
  </w:endnote>
  <w:endnote w:type="continuationSeparator" w:id="0">
    <w:p w14:paraId="5EC59037" w14:textId="77777777" w:rsidR="0073710D" w:rsidRDefault="0073710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AE1001" w:rsidRDefault="00AE10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6DD">
          <w:rPr>
            <w:noProof/>
          </w:rPr>
          <w:t>10</w:t>
        </w:r>
        <w:r>
          <w:fldChar w:fldCharType="end"/>
        </w:r>
      </w:p>
    </w:sdtContent>
  </w:sdt>
  <w:p w14:paraId="4970DE6B" w14:textId="77777777" w:rsidR="00AE1001" w:rsidRDefault="00AE10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961C1" w14:textId="77777777" w:rsidR="0073710D" w:rsidRDefault="0073710D" w:rsidP="000614E1">
      <w:pPr>
        <w:spacing w:line="240" w:lineRule="auto"/>
      </w:pPr>
      <w:r>
        <w:separator/>
      </w:r>
    </w:p>
  </w:footnote>
  <w:footnote w:type="continuationSeparator" w:id="0">
    <w:p w14:paraId="5FBEC213" w14:textId="77777777" w:rsidR="0073710D" w:rsidRDefault="0073710D" w:rsidP="000614E1">
      <w:pPr>
        <w:spacing w:line="240" w:lineRule="auto"/>
      </w:pPr>
      <w:r>
        <w:continuationSeparator/>
      </w:r>
    </w:p>
  </w:footnote>
  <w:footnote w:id="1">
    <w:p w14:paraId="3391512A" w14:textId="77777777" w:rsidR="00AE1001" w:rsidRDefault="00AE1001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2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29"/>
  </w:num>
  <w:num w:numId="6">
    <w:abstractNumId w:val="25"/>
  </w:num>
  <w:num w:numId="7">
    <w:abstractNumId w:val="16"/>
  </w:num>
  <w:num w:numId="8">
    <w:abstractNumId w:val="23"/>
  </w:num>
  <w:num w:numId="9">
    <w:abstractNumId w:val="20"/>
  </w:num>
  <w:num w:numId="10">
    <w:abstractNumId w:val="21"/>
  </w:num>
  <w:num w:numId="11">
    <w:abstractNumId w:val="1"/>
  </w:num>
  <w:num w:numId="12">
    <w:abstractNumId w:val="9"/>
  </w:num>
  <w:num w:numId="13">
    <w:abstractNumId w:val="12"/>
  </w:num>
  <w:num w:numId="14">
    <w:abstractNumId w:val="0"/>
  </w:num>
  <w:num w:numId="15">
    <w:abstractNumId w:val="24"/>
  </w:num>
  <w:num w:numId="16">
    <w:abstractNumId w:val="8"/>
  </w:num>
  <w:num w:numId="17">
    <w:abstractNumId w:val="14"/>
  </w:num>
  <w:num w:numId="18">
    <w:abstractNumId w:val="18"/>
  </w:num>
  <w:num w:numId="19">
    <w:abstractNumId w:val="4"/>
  </w:num>
  <w:num w:numId="20">
    <w:abstractNumId w:val="6"/>
  </w:num>
  <w:num w:numId="21">
    <w:abstractNumId w:val="27"/>
  </w:num>
  <w:num w:numId="22">
    <w:abstractNumId w:val="22"/>
  </w:num>
  <w:num w:numId="23">
    <w:abstractNumId w:val="19"/>
  </w:num>
  <w:num w:numId="24">
    <w:abstractNumId w:val="28"/>
  </w:num>
  <w:num w:numId="25">
    <w:abstractNumId w:val="26"/>
  </w:num>
  <w:num w:numId="26">
    <w:abstractNumId w:val="17"/>
  </w:num>
  <w:num w:numId="27">
    <w:abstractNumId w:val="15"/>
  </w:num>
  <w:num w:numId="28">
    <w:abstractNumId w:val="2"/>
  </w:num>
  <w:num w:numId="29">
    <w:abstractNumId w:val="13"/>
  </w:num>
  <w:num w:numId="3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2E6B"/>
    <w:rsid w:val="00034DFD"/>
    <w:rsid w:val="000448EA"/>
    <w:rsid w:val="00044983"/>
    <w:rsid w:val="00050302"/>
    <w:rsid w:val="0005237C"/>
    <w:rsid w:val="0005356E"/>
    <w:rsid w:val="00056201"/>
    <w:rsid w:val="0006011B"/>
    <w:rsid w:val="000614E1"/>
    <w:rsid w:val="00067F6A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2D97"/>
    <w:rsid w:val="000D3E31"/>
    <w:rsid w:val="000D4FE6"/>
    <w:rsid w:val="000E0A46"/>
    <w:rsid w:val="000E2EA4"/>
    <w:rsid w:val="000E496B"/>
    <w:rsid w:val="00101AFA"/>
    <w:rsid w:val="00104C3C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44BA"/>
    <w:rsid w:val="00203EC7"/>
    <w:rsid w:val="00205AAB"/>
    <w:rsid w:val="00207F54"/>
    <w:rsid w:val="00215CEA"/>
    <w:rsid w:val="002179FC"/>
    <w:rsid w:val="00217F15"/>
    <w:rsid w:val="00220E4D"/>
    <w:rsid w:val="002249EA"/>
    <w:rsid w:val="00242A7B"/>
    <w:rsid w:val="00243E89"/>
    <w:rsid w:val="002458BE"/>
    <w:rsid w:val="00246DA8"/>
    <w:rsid w:val="00250368"/>
    <w:rsid w:val="002550F5"/>
    <w:rsid w:val="00261435"/>
    <w:rsid w:val="00265824"/>
    <w:rsid w:val="0027034D"/>
    <w:rsid w:val="00271E1F"/>
    <w:rsid w:val="00273501"/>
    <w:rsid w:val="00281A0E"/>
    <w:rsid w:val="002B1585"/>
    <w:rsid w:val="002B4272"/>
    <w:rsid w:val="002B7E75"/>
    <w:rsid w:val="002C245D"/>
    <w:rsid w:val="002C3E00"/>
    <w:rsid w:val="002C782D"/>
    <w:rsid w:val="002D36D1"/>
    <w:rsid w:val="002E1A3B"/>
    <w:rsid w:val="002E465C"/>
    <w:rsid w:val="002E5D24"/>
    <w:rsid w:val="002E68E1"/>
    <w:rsid w:val="002F0E81"/>
    <w:rsid w:val="00301B71"/>
    <w:rsid w:val="00302995"/>
    <w:rsid w:val="003074C0"/>
    <w:rsid w:val="00330005"/>
    <w:rsid w:val="00345143"/>
    <w:rsid w:val="00345835"/>
    <w:rsid w:val="003478B6"/>
    <w:rsid w:val="003737CF"/>
    <w:rsid w:val="0037703B"/>
    <w:rsid w:val="0038298C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04511"/>
    <w:rsid w:val="0041155D"/>
    <w:rsid w:val="00416DB9"/>
    <w:rsid w:val="004220CB"/>
    <w:rsid w:val="00422186"/>
    <w:rsid w:val="00427127"/>
    <w:rsid w:val="00442217"/>
    <w:rsid w:val="00450922"/>
    <w:rsid w:val="00457A56"/>
    <w:rsid w:val="004642D6"/>
    <w:rsid w:val="00464E29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A793F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1E67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193"/>
    <w:rsid w:val="0053536A"/>
    <w:rsid w:val="00536CB3"/>
    <w:rsid w:val="00536F59"/>
    <w:rsid w:val="0053775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45BE"/>
    <w:rsid w:val="005856CB"/>
    <w:rsid w:val="00591513"/>
    <w:rsid w:val="0059316E"/>
    <w:rsid w:val="00596040"/>
    <w:rsid w:val="005A70E5"/>
    <w:rsid w:val="005B0964"/>
    <w:rsid w:val="005B1FB1"/>
    <w:rsid w:val="005B38EF"/>
    <w:rsid w:val="005C000F"/>
    <w:rsid w:val="005C3A00"/>
    <w:rsid w:val="005C7800"/>
    <w:rsid w:val="005E0A2F"/>
    <w:rsid w:val="005E3B67"/>
    <w:rsid w:val="005F2B60"/>
    <w:rsid w:val="005F3A61"/>
    <w:rsid w:val="0061027D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1FD8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3710D"/>
    <w:rsid w:val="007375B6"/>
    <w:rsid w:val="007431D6"/>
    <w:rsid w:val="00746D67"/>
    <w:rsid w:val="00753A5B"/>
    <w:rsid w:val="00755BB7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124"/>
    <w:rsid w:val="00850590"/>
    <w:rsid w:val="0087283D"/>
    <w:rsid w:val="00885773"/>
    <w:rsid w:val="00890EA6"/>
    <w:rsid w:val="0089355A"/>
    <w:rsid w:val="008A0589"/>
    <w:rsid w:val="008A0898"/>
    <w:rsid w:val="008A46DD"/>
    <w:rsid w:val="008A7C23"/>
    <w:rsid w:val="008B3DFB"/>
    <w:rsid w:val="008B5947"/>
    <w:rsid w:val="008B671B"/>
    <w:rsid w:val="008B6CF5"/>
    <w:rsid w:val="008B7F48"/>
    <w:rsid w:val="008C486E"/>
    <w:rsid w:val="008C51D6"/>
    <w:rsid w:val="008D2CA0"/>
    <w:rsid w:val="008D53BA"/>
    <w:rsid w:val="008D7283"/>
    <w:rsid w:val="008E2407"/>
    <w:rsid w:val="008F4734"/>
    <w:rsid w:val="008F7CFB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3881"/>
    <w:rsid w:val="00937D5B"/>
    <w:rsid w:val="0094206B"/>
    <w:rsid w:val="00946F26"/>
    <w:rsid w:val="0096240F"/>
    <w:rsid w:val="00962B48"/>
    <w:rsid w:val="0096640B"/>
    <w:rsid w:val="00983E03"/>
    <w:rsid w:val="00991A72"/>
    <w:rsid w:val="00997103"/>
    <w:rsid w:val="009A4643"/>
    <w:rsid w:val="009A7C43"/>
    <w:rsid w:val="009B2BC5"/>
    <w:rsid w:val="009B5AB7"/>
    <w:rsid w:val="009B6044"/>
    <w:rsid w:val="009C2208"/>
    <w:rsid w:val="009D3A35"/>
    <w:rsid w:val="009D6841"/>
    <w:rsid w:val="009F0241"/>
    <w:rsid w:val="009F0A8F"/>
    <w:rsid w:val="00A061FE"/>
    <w:rsid w:val="00A079F5"/>
    <w:rsid w:val="00A07EAE"/>
    <w:rsid w:val="00A12551"/>
    <w:rsid w:val="00A1771B"/>
    <w:rsid w:val="00A20697"/>
    <w:rsid w:val="00A308A8"/>
    <w:rsid w:val="00A32F79"/>
    <w:rsid w:val="00A40DF1"/>
    <w:rsid w:val="00A41286"/>
    <w:rsid w:val="00A4129C"/>
    <w:rsid w:val="00A41754"/>
    <w:rsid w:val="00A514CF"/>
    <w:rsid w:val="00A515B5"/>
    <w:rsid w:val="00A51B3C"/>
    <w:rsid w:val="00A57DB8"/>
    <w:rsid w:val="00A6737C"/>
    <w:rsid w:val="00A75596"/>
    <w:rsid w:val="00A8282D"/>
    <w:rsid w:val="00A9049A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E1001"/>
    <w:rsid w:val="00AF791C"/>
    <w:rsid w:val="00B0039D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55711"/>
    <w:rsid w:val="00B61F5C"/>
    <w:rsid w:val="00B63302"/>
    <w:rsid w:val="00B63545"/>
    <w:rsid w:val="00B63FBC"/>
    <w:rsid w:val="00B65376"/>
    <w:rsid w:val="00B66594"/>
    <w:rsid w:val="00B67E35"/>
    <w:rsid w:val="00B73275"/>
    <w:rsid w:val="00B74A51"/>
    <w:rsid w:val="00B8207F"/>
    <w:rsid w:val="00B82790"/>
    <w:rsid w:val="00B96367"/>
    <w:rsid w:val="00BA40CB"/>
    <w:rsid w:val="00BA49E1"/>
    <w:rsid w:val="00BA74EF"/>
    <w:rsid w:val="00BB0ECC"/>
    <w:rsid w:val="00BB3908"/>
    <w:rsid w:val="00BB3F5F"/>
    <w:rsid w:val="00BB4C16"/>
    <w:rsid w:val="00BB7613"/>
    <w:rsid w:val="00BC2AB8"/>
    <w:rsid w:val="00BC7E50"/>
    <w:rsid w:val="00BD080B"/>
    <w:rsid w:val="00BD0843"/>
    <w:rsid w:val="00BD2AE7"/>
    <w:rsid w:val="00BE427A"/>
    <w:rsid w:val="00BF78F9"/>
    <w:rsid w:val="00C006C7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3156"/>
    <w:rsid w:val="00C445F8"/>
    <w:rsid w:val="00C47A49"/>
    <w:rsid w:val="00C52DC7"/>
    <w:rsid w:val="00C5566E"/>
    <w:rsid w:val="00C57309"/>
    <w:rsid w:val="00C662E0"/>
    <w:rsid w:val="00C74AF3"/>
    <w:rsid w:val="00C74CFA"/>
    <w:rsid w:val="00C81224"/>
    <w:rsid w:val="00C81CCB"/>
    <w:rsid w:val="00C82983"/>
    <w:rsid w:val="00C86359"/>
    <w:rsid w:val="00C9103F"/>
    <w:rsid w:val="00CA05E2"/>
    <w:rsid w:val="00CA436E"/>
    <w:rsid w:val="00CB0EE3"/>
    <w:rsid w:val="00CB2D14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1714A"/>
    <w:rsid w:val="00D20820"/>
    <w:rsid w:val="00D22967"/>
    <w:rsid w:val="00D24DB1"/>
    <w:rsid w:val="00D31B74"/>
    <w:rsid w:val="00D407BE"/>
    <w:rsid w:val="00D47030"/>
    <w:rsid w:val="00D56D26"/>
    <w:rsid w:val="00D61462"/>
    <w:rsid w:val="00D654DE"/>
    <w:rsid w:val="00D66AAE"/>
    <w:rsid w:val="00D824D8"/>
    <w:rsid w:val="00D83785"/>
    <w:rsid w:val="00D90070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1A0F"/>
    <w:rsid w:val="00E821AE"/>
    <w:rsid w:val="00E85C50"/>
    <w:rsid w:val="00E9433A"/>
    <w:rsid w:val="00E94FEA"/>
    <w:rsid w:val="00E95E0C"/>
    <w:rsid w:val="00E965AF"/>
    <w:rsid w:val="00EA1FC7"/>
    <w:rsid w:val="00EA7A12"/>
    <w:rsid w:val="00EB21C4"/>
    <w:rsid w:val="00EB4185"/>
    <w:rsid w:val="00EC544E"/>
    <w:rsid w:val="00EC794C"/>
    <w:rsid w:val="00ED259E"/>
    <w:rsid w:val="00ED3B72"/>
    <w:rsid w:val="00ED41F9"/>
    <w:rsid w:val="00ED4A3D"/>
    <w:rsid w:val="00ED6E21"/>
    <w:rsid w:val="00EE630D"/>
    <w:rsid w:val="00EF0D63"/>
    <w:rsid w:val="00EF45D8"/>
    <w:rsid w:val="00EF696F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3338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1CC6"/>
    <w:rsid w:val="00FB5E97"/>
    <w:rsid w:val="00FB5E9D"/>
    <w:rsid w:val="00FC667E"/>
    <w:rsid w:val="00FD210F"/>
    <w:rsid w:val="00FD32A6"/>
    <w:rsid w:val="00FD5541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D:\Repositori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C91052C1-116D-4D26-B2D7-C2F86469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4334</Words>
  <Characters>23408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506</cp:revision>
  <cp:lastPrinted>2016-05-02T20:44:00Z</cp:lastPrinted>
  <dcterms:created xsi:type="dcterms:W3CDTF">2015-04-06T11:13:00Z</dcterms:created>
  <dcterms:modified xsi:type="dcterms:W3CDTF">2016-05-02T20:45:00Z</dcterms:modified>
</cp:coreProperties>
</file>