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</w:r>
      <w:proofErr w:type="gramStart"/>
      <w:r w:rsidR="00450922" w:rsidRPr="00560167">
        <w:t>do</w:t>
      </w:r>
      <w:proofErr w:type="gramEnd"/>
      <w:r w:rsidR="00450922"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2B1585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D84784A" wp14:editId="5E07B76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FC1D0" id="Straight Connector 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13C275" wp14:editId="3617ECC1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140FD" id="Straight Connecto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27151" wp14:editId="60221C05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F920A" id="Straight Connector 7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99E5BA" wp14:editId="060ED85B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FB8F" id="Straight Connector 6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</w:r>
      <w:proofErr w:type="gramStart"/>
      <w:r w:rsidR="00D20820" w:rsidRPr="00560167">
        <w:t>do</w:t>
      </w:r>
      <w:proofErr w:type="gramEnd"/>
      <w:r w:rsidR="00D20820" w:rsidRPr="00560167">
        <w:t xml:space="preserve">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49976322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plug-in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77856E40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>Processador PDS16; Assembly</w:t>
      </w:r>
      <w:r w:rsidR="003478B6">
        <w:t xml:space="preserve">; </w:t>
      </w:r>
      <w:r w:rsidR="00ED41F9">
        <w:t>Xtext</w:t>
      </w:r>
      <w:r w:rsidR="003478B6">
        <w:t>;</w:t>
      </w:r>
      <w:r w:rsidR="007B26FF">
        <w:t xml:space="preserve"> Eclipse;</w:t>
      </w:r>
      <w:r w:rsidR="003478B6">
        <w:t xml:space="preserve"> </w:t>
      </w:r>
      <w:proofErr w:type="gramStart"/>
      <w:r w:rsidR="00A75596">
        <w:t>Plug-in</w:t>
      </w:r>
      <w:proofErr w:type="gramEnd"/>
      <w:r w:rsidR="00E81A0F">
        <w:t>; Ferramenta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49976323"/>
      <w:r w:rsidRPr="00AB0EC2">
        <w:lastRenderedPageBreak/>
        <w:t>Índice</w:t>
      </w:r>
      <w:bookmarkEnd w:id="1"/>
      <w:bookmarkEnd w:id="2"/>
      <w:bookmarkEnd w:id="3"/>
    </w:p>
    <w:p w14:paraId="30E1E8F0" w14:textId="77777777" w:rsidR="00F53338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76322" w:history="1">
        <w:r w:rsidR="00F53338" w:rsidRPr="00673052">
          <w:rPr>
            <w:rStyle w:val="Hiperligao"/>
            <w:noProof/>
          </w:rPr>
          <w:t>Resumo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v</w:t>
        </w:r>
        <w:r w:rsidR="00F53338">
          <w:rPr>
            <w:noProof/>
            <w:webHidden/>
          </w:rPr>
          <w:fldChar w:fldCharType="end"/>
        </w:r>
      </w:hyperlink>
    </w:p>
    <w:p w14:paraId="65B209F7" w14:textId="77777777" w:rsidR="00F53338" w:rsidRDefault="000F52BC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3" w:history="1">
        <w:r w:rsidR="00F53338" w:rsidRPr="00673052">
          <w:rPr>
            <w:rStyle w:val="Hiperligao"/>
            <w:noProof/>
          </w:rPr>
          <w:t>Índice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vii</w:t>
        </w:r>
        <w:r w:rsidR="00F53338">
          <w:rPr>
            <w:noProof/>
            <w:webHidden/>
          </w:rPr>
          <w:fldChar w:fldCharType="end"/>
        </w:r>
      </w:hyperlink>
    </w:p>
    <w:p w14:paraId="7A352D35" w14:textId="77777777" w:rsidR="00F53338" w:rsidRDefault="000F52BC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4" w:history="1">
        <w:r w:rsidR="00F53338" w:rsidRPr="00673052">
          <w:rPr>
            <w:rStyle w:val="Hiperligao"/>
            <w:noProof/>
          </w:rPr>
          <w:t>Lista de Figuras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ix</w:t>
        </w:r>
        <w:r w:rsidR="00F53338">
          <w:rPr>
            <w:noProof/>
            <w:webHidden/>
          </w:rPr>
          <w:fldChar w:fldCharType="end"/>
        </w:r>
      </w:hyperlink>
    </w:p>
    <w:p w14:paraId="65143A58" w14:textId="77777777" w:rsidR="00F53338" w:rsidRDefault="000F52BC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5" w:history="1">
        <w:r w:rsidR="00F53338" w:rsidRPr="00673052">
          <w:rPr>
            <w:rStyle w:val="Hiperligao"/>
            <w:noProof/>
          </w:rPr>
          <w:t>Lista de Tabelas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xi</w:t>
        </w:r>
        <w:r w:rsidR="00F53338">
          <w:rPr>
            <w:noProof/>
            <w:webHidden/>
          </w:rPr>
          <w:fldChar w:fldCharType="end"/>
        </w:r>
      </w:hyperlink>
    </w:p>
    <w:p w14:paraId="540F37FB" w14:textId="77777777" w:rsidR="00F53338" w:rsidRDefault="000F52B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6" w:history="1">
        <w:r w:rsidR="00F53338" w:rsidRPr="00673052">
          <w:rPr>
            <w:rStyle w:val="Hiperligao"/>
            <w:noProof/>
          </w:rPr>
          <w:t>1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Introdução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66E3753E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7" w:history="1">
        <w:r w:rsidR="00F53338" w:rsidRPr="00673052">
          <w:rPr>
            <w:rStyle w:val="Hiperligao"/>
            <w:noProof/>
          </w:rPr>
          <w:t>1.1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Enquadramento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3F15BC4A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8" w:history="1">
        <w:r w:rsidR="00F53338" w:rsidRPr="00673052">
          <w:rPr>
            <w:rStyle w:val="Hiperligao"/>
            <w:noProof/>
          </w:rPr>
          <w:t>1.2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Motivação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3</w:t>
        </w:r>
        <w:r w:rsidR="00F53338">
          <w:rPr>
            <w:noProof/>
            <w:webHidden/>
          </w:rPr>
          <w:fldChar w:fldCharType="end"/>
        </w:r>
      </w:hyperlink>
    </w:p>
    <w:p w14:paraId="3FE54AE2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9" w:history="1">
        <w:r w:rsidR="00F53338" w:rsidRPr="00673052">
          <w:rPr>
            <w:rStyle w:val="Hiperligao"/>
            <w:noProof/>
          </w:rPr>
          <w:t>1.3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Objetivos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_Toc449976329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4</w:t>
        </w:r>
        <w:r w:rsidR="00F53338">
          <w:rPr>
            <w:noProof/>
            <w:webHidden/>
          </w:rPr>
          <w:fldChar w:fldCharType="end"/>
        </w:r>
      </w:hyperlink>
    </w:p>
    <w:p w14:paraId="5A769E6F" w14:textId="77777777" w:rsidR="00F53338" w:rsidRDefault="000F52B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30" w:history="1">
        <w:r w:rsidR="00F53338" w:rsidRPr="00673052">
          <w:rPr>
            <w:rStyle w:val="Hiperligao"/>
            <w:noProof/>
          </w:rPr>
          <w:t>2.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PDS16 DSL – Linguagem de Domínio Especifico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_Toc449976330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6</w:t>
        </w:r>
        <w:r w:rsidR="00F53338">
          <w:rPr>
            <w:noProof/>
            <w:webHidden/>
          </w:rPr>
          <w:fldChar w:fldCharType="end"/>
        </w:r>
      </w:hyperlink>
    </w:p>
    <w:p w14:paraId="13A8FC77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1" w:history="1">
        <w:r w:rsidR="00F53338" w:rsidRPr="00673052">
          <w:rPr>
            <w:rStyle w:val="Hiperligao"/>
            <w:noProof/>
          </w:rPr>
          <w:t>2.1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Instruções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_Toc449976331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7</w:t>
        </w:r>
        <w:r w:rsidR="00F53338">
          <w:rPr>
            <w:noProof/>
            <w:webHidden/>
          </w:rPr>
          <w:fldChar w:fldCharType="end"/>
        </w:r>
      </w:hyperlink>
    </w:p>
    <w:p w14:paraId="54EA2989" w14:textId="77777777" w:rsidR="00F53338" w:rsidRDefault="000F52BC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2" w:history="1">
        <w:r w:rsidR="00F53338" w:rsidRPr="00673052">
          <w:rPr>
            <w:rStyle w:val="Hiperligao"/>
            <w:noProof/>
          </w:rPr>
          <w:t>2.1.1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Acesso a memória de dados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7</w:t>
        </w:r>
        <w:r w:rsidR="00F53338">
          <w:rPr>
            <w:noProof/>
            <w:webHidden/>
          </w:rPr>
          <w:fldChar w:fldCharType="end"/>
        </w:r>
      </w:hyperlink>
    </w:p>
    <w:p w14:paraId="36485179" w14:textId="77777777" w:rsidR="00F53338" w:rsidRDefault="000F52BC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3" w:history="1">
        <w:r w:rsidR="00F53338" w:rsidRPr="00673052">
          <w:rPr>
            <w:rStyle w:val="Hiperligao"/>
            <w:noProof/>
          </w:rPr>
          <w:t>2.1.2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Processamento de Dados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8</w:t>
        </w:r>
        <w:r w:rsidR="00F53338">
          <w:rPr>
            <w:noProof/>
            <w:webHidden/>
          </w:rPr>
          <w:fldChar w:fldCharType="end"/>
        </w:r>
      </w:hyperlink>
    </w:p>
    <w:p w14:paraId="0F6A6D98" w14:textId="77777777" w:rsidR="00F53338" w:rsidRDefault="000F52BC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4" w:history="1">
        <w:r w:rsidR="00F53338" w:rsidRPr="00673052">
          <w:rPr>
            <w:rStyle w:val="Hiperligao"/>
            <w:noProof/>
          </w:rPr>
          <w:t>2.1.3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Controlo de Fluxo de Execução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9</w:t>
        </w:r>
        <w:r w:rsidR="00F53338">
          <w:rPr>
            <w:noProof/>
            <w:webHidden/>
          </w:rPr>
          <w:fldChar w:fldCharType="end"/>
        </w:r>
      </w:hyperlink>
    </w:p>
    <w:p w14:paraId="00FB2382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5" w:history="1">
        <w:r w:rsidR="00F53338" w:rsidRPr="00673052">
          <w:rPr>
            <w:rStyle w:val="Hiperligao"/>
            <w:noProof/>
          </w:rPr>
          <w:t>2.2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Diretivas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10</w:t>
        </w:r>
        <w:r w:rsidR="00F53338">
          <w:rPr>
            <w:noProof/>
            <w:webHidden/>
          </w:rPr>
          <w:fldChar w:fldCharType="end"/>
        </w:r>
      </w:hyperlink>
    </w:p>
    <w:p w14:paraId="3D8DEA0C" w14:textId="77777777" w:rsidR="00F53338" w:rsidRDefault="000F52B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36" w:history="1">
        <w:r w:rsidR="00F53338" w:rsidRPr="00673052">
          <w:rPr>
            <w:rStyle w:val="Hiperligao"/>
            <w:noProof/>
          </w:rPr>
          <w:t>3.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Framework Xtext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12</w:t>
        </w:r>
        <w:r w:rsidR="00F53338">
          <w:rPr>
            <w:noProof/>
            <w:webHidden/>
          </w:rPr>
          <w:fldChar w:fldCharType="end"/>
        </w:r>
      </w:hyperlink>
    </w:p>
    <w:p w14:paraId="0858B491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7" w:history="1">
        <w:r w:rsidR="00F53338" w:rsidRPr="00673052">
          <w:rPr>
            <w:rStyle w:val="Hiperligao"/>
            <w:noProof/>
          </w:rPr>
          <w:t>3.1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Regras (Parser Rules)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13</w:t>
        </w:r>
        <w:r w:rsidR="00F53338">
          <w:rPr>
            <w:noProof/>
            <w:webHidden/>
          </w:rPr>
          <w:fldChar w:fldCharType="end"/>
        </w:r>
      </w:hyperlink>
    </w:p>
    <w:p w14:paraId="4E13D453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8" w:history="1">
        <w:r w:rsidR="00F53338" w:rsidRPr="00673052">
          <w:rPr>
            <w:rStyle w:val="Hiperligao"/>
            <w:noProof/>
          </w:rPr>
          <w:t>3.2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Regras Terminais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69C55016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9" w:history="1">
        <w:r w:rsidR="00F53338" w:rsidRPr="00673052">
          <w:rPr>
            <w:rStyle w:val="Hiperligao"/>
            <w:noProof/>
          </w:rPr>
          <w:t>3.3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Validadores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_Toc449976339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15</w:t>
        </w:r>
        <w:r w:rsidR="00F53338">
          <w:rPr>
            <w:noProof/>
            <w:webHidden/>
          </w:rPr>
          <w:fldChar w:fldCharType="end"/>
        </w:r>
      </w:hyperlink>
    </w:p>
    <w:p w14:paraId="519E5753" w14:textId="77777777" w:rsidR="00F53338" w:rsidRDefault="000F52BC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40" w:history="1">
        <w:r w:rsidR="00F53338" w:rsidRPr="00673052">
          <w:rPr>
            <w:rStyle w:val="Hiperligao"/>
            <w:noProof/>
          </w:rPr>
          <w:t>3.4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Compilador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_Toc449976340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16</w:t>
        </w:r>
        <w:r w:rsidR="00F53338">
          <w:rPr>
            <w:noProof/>
            <w:webHidden/>
          </w:rPr>
          <w:fldChar w:fldCharType="end"/>
        </w:r>
      </w:hyperlink>
    </w:p>
    <w:p w14:paraId="4288E43E" w14:textId="77777777" w:rsidR="00F53338" w:rsidRDefault="000F52B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41" w:history="1">
        <w:r w:rsidR="00F53338" w:rsidRPr="00673052">
          <w:rPr>
            <w:rStyle w:val="Hiperligao"/>
            <w:noProof/>
          </w:rPr>
          <w:t>4.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Progresso do Projeto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_Toc449976341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18</w:t>
        </w:r>
        <w:r w:rsidR="00F53338">
          <w:rPr>
            <w:noProof/>
            <w:webHidden/>
          </w:rPr>
          <w:fldChar w:fldCharType="end"/>
        </w:r>
      </w:hyperlink>
    </w:p>
    <w:p w14:paraId="18A8F73E" w14:textId="77777777" w:rsidR="00F53338" w:rsidRDefault="000F52BC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42" w:history="1">
        <w:r w:rsidR="00F53338" w:rsidRPr="00673052">
          <w:rPr>
            <w:rStyle w:val="Hiperligao"/>
            <w:noProof/>
          </w:rPr>
          <w:t>Referências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21</w:t>
        </w:r>
        <w:r w:rsidR="00F53338"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49976324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B500F2A" w14:textId="77777777" w:rsidR="00F53338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976343" w:history="1">
        <w:r w:rsidR="00F53338" w:rsidRPr="00B04CE7">
          <w:rPr>
            <w:rStyle w:val="Hiperligao"/>
            <w:noProof/>
          </w:rPr>
          <w:t>Figura 1 – Exemplo de um ciclo de desenvolvimento de um programa/aplicação. [1]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2962B6D2" w14:textId="77777777" w:rsidR="00F53338" w:rsidRDefault="000F52B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4" w:history="1">
        <w:r w:rsidR="00F53338" w:rsidRPr="00B04CE7">
          <w:rPr>
            <w:rStyle w:val="Hiperligao"/>
            <w:noProof/>
          </w:rPr>
          <w:t>Figura 2 - Código exemplo da definição das regras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13</w:t>
        </w:r>
        <w:r w:rsidR="00F53338">
          <w:rPr>
            <w:noProof/>
            <w:webHidden/>
          </w:rPr>
          <w:fldChar w:fldCharType="end"/>
        </w:r>
      </w:hyperlink>
    </w:p>
    <w:p w14:paraId="4B0C53BB" w14:textId="77777777" w:rsidR="00F53338" w:rsidRDefault="000F52B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976345" w:history="1">
        <w:r w:rsidR="00F53338" w:rsidRPr="00B04CE7">
          <w:rPr>
            <w:rStyle w:val="Hiperligao"/>
            <w:noProof/>
          </w:rPr>
          <w:t>Figura 3 - Código exemplo da definição regras terminais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32F504AD" w14:textId="77777777" w:rsidR="00F53338" w:rsidRDefault="000F52B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6" w:history="1">
        <w:r w:rsidR="00F53338" w:rsidRPr="00B04CE7">
          <w:rPr>
            <w:rStyle w:val="Hiperligao"/>
            <w:noProof/>
          </w:rPr>
          <w:t>Figura 4 - Código da classe Pds16asmRuntimeModule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7CC12F38" w14:textId="77777777" w:rsidR="00F53338" w:rsidRDefault="000F52B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7" w:history="1">
        <w:r w:rsidR="00F53338" w:rsidRPr="00B04CE7">
          <w:rPr>
            <w:rStyle w:val="Hiperligao"/>
            <w:noProof/>
          </w:rPr>
          <w:t>Figura 5 - Exemplo de um validador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15</w:t>
        </w:r>
        <w:r w:rsidR="00F53338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49976325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F985D7A" w14:textId="77777777" w:rsidR="00F53338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76348" w:history="1">
        <w:r w:rsidR="00F53338" w:rsidRPr="00435ED6">
          <w:rPr>
            <w:rStyle w:val="Hiperligao"/>
            <w:noProof/>
          </w:rPr>
          <w:t>Tabela 1 - Diagrama de Gantt relativo à previsão da execução do trabalho.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19</w:t>
        </w:r>
        <w:r w:rsidR="00F53338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49976326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49976327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F53338" w:rsidRPr="006443B1">
        <w:rPr>
          <w:sz w:val="20"/>
        </w:rPr>
        <w:t xml:space="preserve">Figura </w:t>
      </w:r>
      <w:r w:rsidR="00F53338">
        <w:rPr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BA76EAA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49976343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</w:t>
      </w:r>
      <w:proofErr w:type="gramStart"/>
      <w:r w:rsidRPr="00D1714A">
        <w:rPr>
          <w:rFonts w:cs="Times New Roman"/>
        </w:rPr>
        <w:t>no IDE</w:t>
      </w:r>
      <w:proofErr w:type="gramEnd"/>
      <w:r w:rsidRPr="00D1714A"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Atualmente</w:t>
      </w:r>
      <w:proofErr w:type="gramStart"/>
      <w:r w:rsidRPr="00D1714A">
        <w:rPr>
          <w:rFonts w:cs="Times New Roman"/>
        </w:rPr>
        <w:t>,</w:t>
      </w:r>
      <w:proofErr w:type="gramEnd"/>
      <w:r w:rsidRPr="00D1714A">
        <w:rPr>
          <w:rFonts w:cs="Times New Roman"/>
        </w:rPr>
        <w:t xml:space="preserve">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 xml:space="preserve">linguagem de programação </w:t>
      </w:r>
      <w:proofErr w:type="gramStart"/>
      <w:r w:rsidR="00A32F79">
        <w:rPr>
          <w:rFonts w:cs="Times New Roman"/>
        </w:rPr>
        <w:t>ao IDE</w:t>
      </w:r>
      <w:proofErr w:type="gramEnd"/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proofErr w:type="gramStart"/>
      <w:r w:rsidRPr="00D1714A">
        <w:rPr>
          <w:rFonts w:cs="Times New Roman"/>
          <w:i/>
        </w:rPr>
        <w:t>plug-ins</w:t>
      </w:r>
      <w:proofErr w:type="gramEnd"/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49976328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49976329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</w:t>
      </w:r>
      <w:proofErr w:type="gramStart"/>
      <w:r w:rsidRPr="00D1714A">
        <w:rPr>
          <w:rFonts w:cs="Times New Roman"/>
        </w:rPr>
        <w:t>um IDE</w:t>
      </w:r>
      <w:proofErr w:type="gramEnd"/>
      <w:r w:rsidRPr="00D1714A">
        <w:rPr>
          <w:rFonts w:cs="Times New Roman"/>
        </w:rPr>
        <w:t xml:space="preserve">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proofErr w:type="gramStart"/>
      <w:r w:rsidRPr="00D1714A">
        <w:rPr>
          <w:rFonts w:cs="Times New Roman"/>
        </w:rPr>
        <w:t>,</w:t>
      </w:r>
      <w:proofErr w:type="gramEnd"/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proofErr w:type="gramStart"/>
      <w:r w:rsidRPr="00D1714A">
        <w:rPr>
          <w:rFonts w:cs="Times New Roman"/>
          <w:i/>
        </w:rPr>
        <w:t>plug-in</w:t>
      </w:r>
      <w:proofErr w:type="gramEnd"/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proofErr w:type="gramStart"/>
      <w:r w:rsidRPr="00D1714A">
        <w:rPr>
          <w:rFonts w:cs="Times New Roman"/>
          <w:i/>
        </w:rPr>
        <w:t>plug-ins</w:t>
      </w:r>
      <w:proofErr w:type="gramEnd"/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6A9681" w14:textId="2BE1005B" w:rsidR="005B0964" w:rsidRDefault="0087283D" w:rsidP="008D2CA0">
      <w:pPr>
        <w:pStyle w:val="Cabealho1"/>
        <w:numPr>
          <w:ilvl w:val="0"/>
          <w:numId w:val="1"/>
        </w:numPr>
      </w:pPr>
      <w:bookmarkStart w:id="14" w:name="_Toc449976330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442A19BB" w14:textId="77777777" w:rsidR="00C006C7" w:rsidRPr="00FC667E" w:rsidRDefault="00C006C7" w:rsidP="00C006C7"/>
    <w:p w14:paraId="1E29EB8F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>
        <w:rPr>
          <w:rFonts w:cs="Times New Roman"/>
        </w:rPr>
        <w:t>,</w:t>
      </w:r>
      <w:r w:rsidRPr="00623627">
        <w:rPr>
          <w:rFonts w:cs="Times New Roman"/>
        </w:rPr>
        <w:t xml:space="preserve"> entre outras, 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Como já referido anteriormente, o seu ISA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proofErr w:type="gramStart"/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proofErr w:type="gramEnd"/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 xml:space="preserve">, sendo que se trata de uma palavra, única no documento, seguida </w:t>
      </w:r>
      <w:proofErr w:type="gramStart"/>
      <w:r w:rsidRPr="00BD0843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BD0843">
        <w:rPr>
          <w:rFonts w:ascii="Times New Roman" w:hAnsi="Times New Roman" w:cs="Times New Roman"/>
          <w:sz w:val="22"/>
          <w:szCs w:val="22"/>
        </w:rPr>
        <w:t xml:space="preserve">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proofErr w:type="gramStart"/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proofErr w:type="gramEnd"/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5" w:name="_Toc449976331"/>
      <w:r w:rsidRPr="00C006C7">
        <w:lastRenderedPageBreak/>
        <w:t>Instruções</w:t>
      </w:r>
      <w:bookmarkEnd w:id="15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6" w:name="_Toc449976332"/>
      <w:r>
        <w:t>Acesso a memória</w:t>
      </w:r>
      <w:r w:rsidR="005845BE">
        <w:t xml:space="preserve"> de dados</w:t>
      </w:r>
      <w:bookmarkEnd w:id="16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</w:t>
      </w:r>
      <w:proofErr w:type="gramEnd"/>
      <w:r w:rsidRPr="00AB6550">
        <w:rPr>
          <w:rFonts w:ascii="Courier New" w:hAnsi="Courier New" w:cs="Courier New"/>
        </w:rPr>
        <w:t xml:space="preserve">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proofErr w:type="gramEnd"/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ldb</w:t>
      </w:r>
      <w:proofErr w:type="gramEnd"/>
      <w:r w:rsidRPr="00AB6550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7" w:name="_Toc449976333"/>
      <w:r>
        <w:lastRenderedPageBreak/>
        <w:t>Processamento de Dados</w:t>
      </w:r>
      <w:bookmarkEnd w:id="17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add</w:t>
      </w:r>
      <w:proofErr w:type="gramEnd"/>
      <w:r w:rsidRPr="00AB6550">
        <w:rPr>
          <w:rFonts w:ascii="Courier New" w:hAnsi="Courier New" w:cs="Courier New"/>
        </w:rPr>
        <w:t xml:space="preserve">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add</w:t>
      </w:r>
      <w:proofErr w:type="gramEnd"/>
      <w:r w:rsidRPr="00AB6550">
        <w:rPr>
          <w:rFonts w:ascii="Courier New" w:hAnsi="Courier New" w:cs="Courier New"/>
        </w:rPr>
        <w:t xml:space="preserve">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proofErr w:type="gramStart"/>
      <w:r w:rsidRPr="00AB6550">
        <w:rPr>
          <w:rFonts w:ascii="Courier New" w:hAnsi="Courier New" w:cs="Courier New"/>
          <w:lang w:val="en-US"/>
        </w:rPr>
        <w:t>ldi</w:t>
      </w:r>
      <w:proofErr w:type="gramEnd"/>
      <w:r w:rsidRPr="00AB6550">
        <w:rPr>
          <w:rFonts w:ascii="Courier New" w:hAnsi="Courier New" w:cs="Courier New"/>
          <w:lang w:val="en-US"/>
        </w:rPr>
        <w:t xml:space="preserve">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proofErr w:type="gramStart"/>
      <w:r w:rsidRPr="00AB6550">
        <w:rPr>
          <w:rFonts w:ascii="Courier New" w:hAnsi="Courier New" w:cs="Courier New"/>
          <w:lang w:val="en-US"/>
        </w:rPr>
        <w:t>ldih</w:t>
      </w:r>
      <w:proofErr w:type="gramEnd"/>
      <w:r w:rsidRPr="00AB6550">
        <w:rPr>
          <w:rFonts w:ascii="Courier New" w:hAnsi="Courier New" w:cs="Courier New"/>
          <w:lang w:val="en-US"/>
        </w:rPr>
        <w:t xml:space="preserve"> ry, #</w:t>
      </w:r>
      <w:r>
        <w:rPr>
          <w:rFonts w:ascii="Courier New" w:hAnsi="Courier New" w:cs="Courier New"/>
          <w:lang w:val="en-US"/>
        </w:rPr>
        <w:t>const</w:t>
      </w:r>
    </w:p>
    <w:p w14:paraId="7BC271AB" w14:textId="77777777" w:rsidR="008D2CA0" w:rsidRDefault="00BB3908" w:rsidP="00BB3908">
      <w:pPr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4593AFBB" w14:textId="77777777" w:rsidR="00D90070" w:rsidRDefault="00D90070" w:rsidP="00BB3908">
      <w:pPr>
        <w:rPr>
          <w:rFonts w:cs="Times New Roman"/>
        </w:rPr>
        <w:sectPr w:rsidR="00D9007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8" w:name="_Toc449976334"/>
      <w:r>
        <w:lastRenderedPageBreak/>
        <w:t>Controlo de Fluxo</w:t>
      </w:r>
      <w:r w:rsidR="00BB3908">
        <w:t xml:space="preserve"> de Execução</w:t>
      </w:r>
      <w:bookmarkEnd w:id="18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BB3908">
        <w:rPr>
          <w:rFonts w:ascii="Courier New" w:hAnsi="Courier New" w:cs="Courier New"/>
        </w:rPr>
        <w:t>jmp</w:t>
      </w:r>
      <w:proofErr w:type="gramEnd"/>
      <w:r w:rsidRPr="00BB3908">
        <w:rPr>
          <w:rFonts w:ascii="Courier New" w:hAnsi="Courier New" w:cs="Courier New"/>
        </w:rPr>
        <w:t xml:space="preserve"> LAB1</w:t>
      </w:r>
    </w:p>
    <w:p w14:paraId="20789451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jz</w:t>
      </w:r>
      <w:proofErr w:type="gramEnd"/>
      <w:r w:rsidRPr="00AB6550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085BCD54" w14:textId="77777777" w:rsidR="008D2CA0" w:rsidRDefault="008D2CA0" w:rsidP="00BB3908">
      <w:pPr>
        <w:rPr>
          <w:rFonts w:cs="Times New Roman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19" w:name="_Toc449976335"/>
      <w:r>
        <w:lastRenderedPageBreak/>
        <w:t>Diretivas</w:t>
      </w:r>
      <w:bookmarkEnd w:id="19"/>
    </w:p>
    <w:p w14:paraId="2DA56C44" w14:textId="77777777" w:rsidR="00BB3908" w:rsidRDefault="00BB3908" w:rsidP="00BB3908"/>
    <w:p w14:paraId="495740B6" w14:textId="1C3DD6D2" w:rsidR="000B4F21" w:rsidRPr="008F7CFB" w:rsidRDefault="008F7CFB" w:rsidP="001B6AEF">
      <w:pPr>
        <w:ind w:firstLine="360"/>
      </w:pPr>
      <w:commentRangeStart w:id="20"/>
      <w:proofErr w:type="gramStart"/>
      <w:r>
        <w:t>directivas</w:t>
      </w:r>
      <w:sdt>
        <w:sdtPr>
          <w:id w:val="-607501218"/>
          <w:citation/>
        </w:sdtPr>
        <w:sdtEndPr/>
        <w:sdtContent>
          <w:r w:rsidR="00BB3908">
            <w:fldChar w:fldCharType="begin"/>
          </w:r>
          <w:r w:rsidR="00BB3908">
            <w:instrText xml:space="preserve"> CITATION Jos \l 2070 </w:instrText>
          </w:r>
          <w:r w:rsidR="00BB3908">
            <w:fldChar w:fldCharType="separate"/>
          </w:r>
          <w:proofErr w:type="gramEnd"/>
          <w:r w:rsidR="00BB3908">
            <w:rPr>
              <w:noProof/>
            </w:rPr>
            <w:t xml:space="preserve"> </w:t>
          </w:r>
          <w:r w:rsidR="00BB3908" w:rsidRPr="001C714F">
            <w:rPr>
              <w:noProof/>
            </w:rPr>
            <w:t>[8]</w:t>
          </w:r>
          <w:r w:rsidR="00BB3908">
            <w:fldChar w:fldCharType="end"/>
          </w:r>
        </w:sdtContent>
      </w:sdt>
      <w:commentRangeEnd w:id="20"/>
      <w:r>
        <w:rPr>
          <w:rStyle w:val="Refdecomentrio"/>
        </w:rPr>
        <w:commentReference w:id="20"/>
      </w:r>
    </w:p>
    <w:p w14:paraId="5327BAAA" w14:textId="77777777" w:rsidR="000B4F21" w:rsidRPr="008F7CFB" w:rsidRDefault="000B4F21" w:rsidP="000B4F21">
      <w:pPr>
        <w:spacing w:after="200" w:line="276" w:lineRule="auto"/>
        <w:jc w:val="left"/>
      </w:pPr>
    </w:p>
    <w:p w14:paraId="0A4C21BE" w14:textId="46C60E2A" w:rsidR="006F1FD8" w:rsidRDefault="008F7CFB" w:rsidP="006F1FD8">
      <w:r>
        <w:tab/>
      </w:r>
      <w:bookmarkStart w:id="21" w:name="_GoBack"/>
      <w:bookmarkEnd w:id="21"/>
      <w:r w:rsidR="006F1FD8">
        <w:t>Existem diferentes zonas de código num ficheiro fonte, para isso a linguagem disponibiliza algumas zonas específicas:</w:t>
      </w:r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</w:t>
      </w:r>
      <w:proofErr w:type="gramStart"/>
      <w:r>
        <w:t>zona</w:t>
      </w:r>
      <w:proofErr w:type="gramEnd"/>
      <w:r>
        <w:t xml:space="preserve">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 (8bits);</w:t>
      </w:r>
    </w:p>
    <w:p w14:paraId="61775909" w14:textId="13C05674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</w:t>
      </w:r>
      <w:r w:rsidR="008F7CFB">
        <w:t>ero respetivamente</w:t>
      </w:r>
      <w:r>
        <w:t xml:space="preserve">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5FD5ACFD" w14:textId="5216E734" w:rsidR="000B4F21" w:rsidRPr="002B1585" w:rsidRDefault="008F7CFB" w:rsidP="008F7CFB">
      <w:r>
        <w:tab/>
      </w:r>
      <w:r w:rsidR="006F1FD8">
        <w:t xml:space="preserve">Existe também a possibilidade de serem atribuídos valores a símbolos através das diretivas “.EQU” </w:t>
      </w:r>
      <w:proofErr w:type="gramStart"/>
      <w:r w:rsidR="006F1FD8">
        <w:t>e</w:t>
      </w:r>
      <w:proofErr w:type="gramEnd"/>
      <w:r w:rsidR="006F1FD8">
        <w:t xml:space="preserve"> “.SET”, sendo que a primeira é atribuído de forma permanente e o segundo temporária.</w:t>
      </w:r>
      <w:r w:rsidR="002B1585">
        <w:t xml:space="preserve"> </w:t>
      </w:r>
    </w:p>
    <w:p w14:paraId="12E5C061" w14:textId="77777777" w:rsidR="002B1585" w:rsidRDefault="002B1585" w:rsidP="008F7CFB">
      <w:pPr>
        <w:rPr>
          <w:i/>
        </w:rPr>
        <w:sectPr w:rsidR="002B1585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8D2CA0">
      <w:pPr>
        <w:pStyle w:val="Cabealho1"/>
        <w:numPr>
          <w:ilvl w:val="0"/>
          <w:numId w:val="25"/>
        </w:numPr>
      </w:pPr>
      <w:bookmarkStart w:id="22" w:name="_Toc449976336"/>
      <w:r w:rsidRPr="008D2CA0">
        <w:lastRenderedPageBreak/>
        <w:t>Framework Xtext</w:t>
      </w:r>
      <w:bookmarkEnd w:id="22"/>
    </w:p>
    <w:p w14:paraId="57C521D8" w14:textId="69706F07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para o desenvolvimento de linguagem de programação, as chamadas DSL, </w:t>
      </w:r>
      <w:r w:rsidRPr="008D2CA0">
        <w:rPr>
          <w:i/>
        </w:rPr>
        <w:t>Domain-Specific Languages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Pr="008D2CA0">
        <w:t xml:space="preserve"> e também através do </w:t>
      </w:r>
      <w:proofErr w:type="gramStart"/>
      <w:r w:rsidRPr="008D2CA0">
        <w:t>browser</w:t>
      </w:r>
      <w:proofErr w:type="gramEnd"/>
      <w:r w:rsidRPr="008D2CA0">
        <w:t>.</w:t>
      </w:r>
    </w:p>
    <w:p w14:paraId="40B0353C" w14:textId="196040BA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 linguagem simples e também ser possível extrair o projeto em forma de um </w:t>
      </w:r>
      <w:proofErr w:type="gramStart"/>
      <w:r w:rsidRPr="008D2CA0">
        <w:rPr>
          <w:i/>
        </w:rPr>
        <w:t>plug</w:t>
      </w:r>
      <w:r w:rsidRPr="008D2CA0">
        <w:t>-in</w:t>
      </w:r>
      <w:proofErr w:type="gramEnd"/>
      <w:r w:rsidRPr="008D2CA0">
        <w:t xml:space="preserve"> para a sua portabilidade entre máquinas. </w:t>
      </w:r>
    </w:p>
    <w:p w14:paraId="42F70980" w14:textId="5E94767E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usada para a realização de um </w:t>
      </w:r>
      <w:proofErr w:type="gramStart"/>
      <w:r w:rsidRPr="008D2CA0">
        <w:t>plug-in</w:t>
      </w:r>
      <w:proofErr w:type="gramEnd"/>
      <w:r w:rsidRPr="008D2CA0">
        <w:t xml:space="preserve"> para uma linguagem de </w:t>
      </w:r>
      <w:r w:rsidRPr="008D2CA0">
        <w:rPr>
          <w:i/>
        </w:rPr>
        <w:t>assembly</w:t>
      </w:r>
      <w:r w:rsidRPr="008D2CA0">
        <w:t xml:space="preserve"> PDS16. Não havendo nenhum editor de texto para a mesma, comprometemos a usar esta biblioteca. </w:t>
      </w:r>
    </w:p>
    <w:p w14:paraId="24186AC7" w14:textId="0092A00F" w:rsidR="008D2CA0" w:rsidRPr="008D2CA0" w:rsidRDefault="008D2CA0" w:rsidP="008D2CA0">
      <w:r>
        <w:tab/>
      </w:r>
      <w:r w:rsidRPr="008D2CA0">
        <w:t xml:space="preserve">Para começar a trabalhar tivemos de instalar o </w:t>
      </w:r>
      <w:proofErr w:type="gramStart"/>
      <w:r w:rsidRPr="008D2CA0">
        <w:rPr>
          <w:i/>
        </w:rPr>
        <w:t>plug</w:t>
      </w:r>
      <w:r w:rsidRPr="008D2CA0">
        <w:t>-in</w:t>
      </w:r>
      <w:proofErr w:type="gramEnd"/>
      <w:r w:rsidRPr="008D2CA0">
        <w:t xml:space="preserve">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3" w:name="_Toc449964876"/>
      <w:bookmarkStart w:id="24" w:name="_Toc449965015"/>
      <w:bookmarkStart w:id="25" w:name="_Toc449965052"/>
      <w:bookmarkStart w:id="26" w:name="_Toc449965404"/>
      <w:bookmarkStart w:id="27" w:name="_Toc449965522"/>
      <w:bookmarkEnd w:id="23"/>
      <w:bookmarkEnd w:id="24"/>
      <w:bookmarkEnd w:id="25"/>
      <w:bookmarkEnd w:id="26"/>
      <w:bookmarkEnd w:id="27"/>
    </w:p>
    <w:p w14:paraId="60680974" w14:textId="77777777" w:rsidR="008D2CA0" w:rsidRDefault="008D2CA0" w:rsidP="008D2CA0">
      <w:pPr>
        <w:pStyle w:val="Cabealho2"/>
        <w:numPr>
          <w:ilvl w:val="1"/>
          <w:numId w:val="25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45F102" w14:textId="79FC5579" w:rsidR="005B0964" w:rsidRDefault="008B3DFB" w:rsidP="008D2CA0">
      <w:pPr>
        <w:pStyle w:val="Cabealho2"/>
        <w:numPr>
          <w:ilvl w:val="1"/>
          <w:numId w:val="25"/>
        </w:numPr>
      </w:pPr>
      <w:bookmarkStart w:id="28" w:name="_Toc449976337"/>
      <w:r>
        <w:lastRenderedPageBreak/>
        <w:t>Regras (Parser Rules)</w:t>
      </w:r>
      <w:bookmarkEnd w:id="28"/>
    </w:p>
    <w:p w14:paraId="1C3BA063" w14:textId="77777777" w:rsidR="008A0898" w:rsidRDefault="00F40BA6" w:rsidP="00F40BA6">
      <w:pPr>
        <w:ind w:firstLine="708"/>
        <w:rPr>
          <w:rFonts w:cs="Times New Roman"/>
        </w:rPr>
      </w:pPr>
      <w:r w:rsidRPr="00FE0E75">
        <w:rPr>
          <w:rFonts w:cs="Times New Roman"/>
        </w:rPr>
        <w:t>Parser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14:paraId="3684B475" w14:textId="77777777"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214D56CA" wp14:editId="2F07447F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2B7" w14:textId="77777777"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9" w:name="_Toc449976344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9"/>
    </w:p>
    <w:p w14:paraId="07D3D187" w14:textId="77777777"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14:paraId="6419E09D" w14:textId="77777777"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iret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14:paraId="4FCAC632" w14:textId="77777777" w:rsidR="00330005" w:rsidRPr="00330005" w:rsidRDefault="00330005" w:rsidP="00330005">
      <w:pPr>
        <w:ind w:firstLine="708"/>
        <w:rPr>
          <w:rFonts w:cs="Times New Roman"/>
        </w:rPr>
      </w:pPr>
    </w:p>
    <w:p w14:paraId="0ACF903F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2239DE" w14:textId="0FB76CA4" w:rsidR="008B3DFB" w:rsidRDefault="008B3DFB" w:rsidP="000B4F21">
      <w:pPr>
        <w:pStyle w:val="Cabealho2"/>
        <w:numPr>
          <w:ilvl w:val="1"/>
          <w:numId w:val="25"/>
        </w:numPr>
      </w:pPr>
      <w:bookmarkStart w:id="30" w:name="_Toc449976338"/>
      <w:r>
        <w:lastRenderedPageBreak/>
        <w:t>Regras Terminais</w:t>
      </w:r>
      <w:bookmarkEnd w:id="30"/>
    </w:p>
    <w:p w14:paraId="0912BAFD" w14:textId="77777777"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DB900E" wp14:editId="363253B6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C586C" w14:textId="77777777" w:rsidR="00AE1001" w:rsidRPr="002E5D24" w:rsidRDefault="00AE1001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1" w:name="_Toc449976345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90070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B900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14:paraId="7D9C586C" w14:textId="77777777" w:rsidR="00AE1001" w:rsidRPr="002E5D24" w:rsidRDefault="00AE1001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2" w:name="_Toc449976345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90070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3C232CD" wp14:editId="0C23B978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r w:rsidR="00791BDC" w:rsidRPr="005856CB">
        <w:rPr>
          <w:rFonts w:cs="Times New Roman"/>
          <w:i/>
          <w:color w:val="000000"/>
        </w:rPr>
        <w:t>tokens rules</w:t>
      </w:r>
      <w:r w:rsidR="00791BDC" w:rsidRPr="00791BDC">
        <w:rPr>
          <w:rFonts w:cs="Times New Roman"/>
          <w:color w:val="000000"/>
        </w:rPr>
        <w:t xml:space="preserve"> ou </w:t>
      </w:r>
      <w:r w:rsidR="00791BDC" w:rsidRPr="005856CB">
        <w:rPr>
          <w:rFonts w:cs="Times New Roman"/>
          <w:i/>
          <w:color w:val="000000"/>
        </w:rPr>
        <w:t>lexer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r w:rsidR="00791BDC" w:rsidRPr="005856CB">
        <w:rPr>
          <w:rFonts w:cs="Times New Roman"/>
          <w:i/>
          <w:color w:val="000000"/>
        </w:rPr>
        <w:t xml:space="preserve">String: </w:t>
      </w:r>
      <w:proofErr w:type="gramStart"/>
      <w:r w:rsidR="00791BDC" w:rsidRPr="005856CB">
        <w:rPr>
          <w:rFonts w:cs="Times New Roman"/>
          <w:i/>
          <w:color w:val="000000"/>
        </w:rPr>
        <w:t>ecore:</w:t>
      </w:r>
      <w:proofErr w:type="gramEnd"/>
      <w:r w:rsidR="00791BDC" w:rsidRPr="005856CB">
        <w:rPr>
          <w:rFonts w:cs="Times New Roman"/>
          <w:i/>
          <w:color w:val="000000"/>
        </w:rPr>
        <w:t>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proofErr w:type="gramStart"/>
      <w:r w:rsidR="00791BDC" w:rsidRPr="005856CB">
        <w:rPr>
          <w:rFonts w:cs="Times New Roman"/>
          <w:i/>
          <w:color w:val="000000"/>
        </w:rPr>
        <w:t>ecore:</w:t>
      </w:r>
      <w:proofErr w:type="gramEnd"/>
      <w:r w:rsidR="00791BDC" w:rsidRPr="005856CB">
        <w:rPr>
          <w:rFonts w:cs="Times New Roman"/>
          <w:i/>
          <w:color w:val="000000"/>
        </w:rPr>
        <w:t>:EDataType</w:t>
      </w:r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14:paraId="2E9C3E5F" w14:textId="77777777" w:rsidR="00A57DB8" w:rsidRDefault="00A57DB8" w:rsidP="00A57DB8">
      <w:pPr>
        <w:rPr>
          <w:rFonts w:cs="Times New Roman"/>
          <w:color w:val="000000"/>
        </w:rPr>
      </w:pPr>
    </w:p>
    <w:p w14:paraId="3B11A0C6" w14:textId="77777777"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14:paraId="2E5192BD" w14:textId="77777777"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1072" behindDoc="1" locked="0" layoutInCell="1" allowOverlap="1" wp14:anchorId="518EDFA6" wp14:editId="7126BFD7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72917" w14:textId="77777777"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3" w:name="_Toc449976346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3"/>
    </w:p>
    <w:p w14:paraId="18701553" w14:textId="77777777" w:rsidR="00AF791C" w:rsidRDefault="00AF791C" w:rsidP="00C5566E">
      <w:pPr>
        <w:rPr>
          <w:rFonts w:cs="Times New Roman"/>
          <w:color w:val="000000"/>
        </w:rPr>
      </w:pPr>
    </w:p>
    <w:p w14:paraId="09B378B9" w14:textId="77777777" w:rsidR="008D2CA0" w:rsidRDefault="00C32240" w:rsidP="00AD2623">
      <w:pPr>
        <w:ind w:firstLine="708"/>
        <w:rPr>
          <w:rFonts w:cs="Times New Roman"/>
          <w:color w:val="000000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r w:rsidR="00D938D8" w:rsidRPr="0071326B">
        <w:rPr>
          <w:rFonts w:cs="Times New Roman"/>
          <w:i/>
          <w:color w:val="000000"/>
        </w:rPr>
        <w:t>ValueConverter</w:t>
      </w:r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r w:rsidRPr="0071326B">
        <w:rPr>
          <w:rFonts w:cs="Times New Roman"/>
          <w:i/>
          <w:color w:val="000000"/>
        </w:rPr>
        <w:t>String</w:t>
      </w:r>
      <w:r>
        <w:rPr>
          <w:rFonts w:cs="Times New Roman"/>
          <w:color w:val="000000"/>
        </w:rPr>
        <w:t xml:space="preserve"> para inteiro.</w:t>
      </w:r>
    </w:p>
    <w:p w14:paraId="101EB627" w14:textId="276B7DA1" w:rsidR="008B3DFB" w:rsidRDefault="008B3DFB" w:rsidP="000B4F21">
      <w:pPr>
        <w:pStyle w:val="Cabealho2"/>
        <w:numPr>
          <w:ilvl w:val="1"/>
          <w:numId w:val="25"/>
        </w:numPr>
      </w:pPr>
      <w:bookmarkStart w:id="34" w:name="_Toc449976339"/>
      <w:r>
        <w:lastRenderedPageBreak/>
        <w:t>Validadores</w:t>
      </w:r>
      <w:bookmarkEnd w:id="34"/>
    </w:p>
    <w:p w14:paraId="053EA141" w14:textId="77777777"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769A8174" wp14:editId="20654424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14:paraId="4EBCFF19" w14:textId="77777777"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35" w:name="_Toc449976347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D90070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5"/>
    </w:p>
    <w:p w14:paraId="43933CAC" w14:textId="77777777" w:rsidR="00BC2AB8" w:rsidRPr="00BC2AB8" w:rsidRDefault="00BC2AB8" w:rsidP="00BC2AB8">
      <w:pPr>
        <w:pStyle w:val="PargrafodaLista"/>
        <w:ind w:left="750"/>
      </w:pPr>
    </w:p>
    <w:p w14:paraId="38CD0012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8B5D1E" w14:textId="1B9EDE90" w:rsidR="008B3DFB" w:rsidRDefault="008B3DFB" w:rsidP="000B4F21">
      <w:pPr>
        <w:pStyle w:val="Cabealho2"/>
        <w:numPr>
          <w:ilvl w:val="1"/>
          <w:numId w:val="25"/>
        </w:numPr>
      </w:pPr>
      <w:bookmarkStart w:id="36" w:name="_Toc449976340"/>
      <w:r>
        <w:lastRenderedPageBreak/>
        <w:t>Compilador</w:t>
      </w:r>
      <w:bookmarkEnd w:id="36"/>
    </w:p>
    <w:p w14:paraId="377FF814" w14:textId="77777777"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 xml:space="preserve">passando como </w:t>
      </w:r>
      <w:proofErr w:type="gramStart"/>
      <w:r w:rsidR="00FF6C97">
        <w:t>input</w:t>
      </w:r>
      <w:proofErr w:type="gramEnd"/>
      <w:r w:rsidR="00FF6C97">
        <w:t xml:space="preserve">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14:paraId="6D3CDC15" w14:textId="77777777" w:rsidR="008D2CA0" w:rsidRDefault="008D2CA0" w:rsidP="008D2CA0">
      <w:pPr>
        <w:pStyle w:val="Cabealho1"/>
        <w:numPr>
          <w:ilvl w:val="0"/>
          <w:numId w:val="2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8D2CA0">
      <w:pPr>
        <w:pStyle w:val="Cabealho1"/>
        <w:numPr>
          <w:ilvl w:val="0"/>
          <w:numId w:val="23"/>
        </w:numPr>
      </w:pPr>
      <w:bookmarkStart w:id="37" w:name="_Toc449976341"/>
      <w:r>
        <w:lastRenderedPageBreak/>
        <w:t>Progresso do Projeto</w:t>
      </w:r>
      <w:bookmarkEnd w:id="37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Pr="00A56C06">
        <w:rPr>
          <w:i/>
        </w:rPr>
        <w:t>assembler</w:t>
      </w:r>
      <w:proofErr w:type="gramEnd"/>
      <w:r>
        <w:t xml:space="preserve">. </w:t>
      </w:r>
    </w:p>
    <w:p w14:paraId="7C3F1F7F" w14:textId="77777777" w:rsidR="00C81224" w:rsidRDefault="00C81224" w:rsidP="00C81224">
      <w:pPr>
        <w:ind w:firstLine="284"/>
      </w:pPr>
      <w:r w:rsidRPr="00A56C06">
        <w:t xml:space="preserve">Face ao exposto, à data atual prevemos cumprir a calendarização inicialmente definida que se apresenta na </w:t>
      </w:r>
      <w:r>
        <w:fldChar w:fldCharType="begin"/>
      </w:r>
      <w:r>
        <w:instrText xml:space="preserve"> REF _Ref449965883 \h </w:instrText>
      </w:r>
      <w:r>
        <w:fldChar w:fldCharType="separate"/>
      </w:r>
      <w:r w:rsidR="00D90070">
        <w:rPr>
          <w:b/>
          <w:bCs/>
        </w:rPr>
        <w:t>Erro! A origem da referência não foi encontrada.</w:t>
      </w:r>
      <w:r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8" w:name="_Toc449976348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D90070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Gantt relativo à previsão da execução do trabalho.</w:t>
      </w:r>
      <w:bookmarkEnd w:id="38"/>
    </w:p>
    <w:bookmarkStart w:id="39" w:name="_Toc44997634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39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C86359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C86359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C86359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Tiago Oliveira" w:date="2016-05-02T19:10:00Z" w:initials="TO">
    <w:p w14:paraId="78B1AABC" w14:textId="168350F9" w:rsidR="008F7CFB" w:rsidRDefault="008F7CFB">
      <w:pPr>
        <w:pStyle w:val="Textodecomentrio"/>
      </w:pPr>
      <w:r>
        <w:rPr>
          <w:rStyle w:val="Refdecomentrio"/>
        </w:rPr>
        <w:annotationRef/>
      </w:r>
      <w:r>
        <w:t xml:space="preserve">Falta neste paragrafo fazer a introdução </w:t>
      </w:r>
      <w:proofErr w:type="gramStart"/>
      <w:r>
        <w:t>ás</w:t>
      </w:r>
      <w:proofErr w:type="gramEnd"/>
      <w:r>
        <w:t xml:space="preserve"> secçoes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1AA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33BE2" w14:textId="77777777" w:rsidR="000F52BC" w:rsidRDefault="000F52BC" w:rsidP="000614E1">
      <w:pPr>
        <w:spacing w:line="240" w:lineRule="auto"/>
      </w:pPr>
      <w:r>
        <w:separator/>
      </w:r>
    </w:p>
  </w:endnote>
  <w:endnote w:type="continuationSeparator" w:id="0">
    <w:p w14:paraId="1F6E05C3" w14:textId="77777777" w:rsidR="000F52BC" w:rsidRDefault="000F52BC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AE1001" w:rsidRDefault="00AE10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CFB">
          <w:rPr>
            <w:noProof/>
          </w:rPr>
          <w:t>19</w:t>
        </w:r>
        <w:r>
          <w:fldChar w:fldCharType="end"/>
        </w:r>
        <w:proofErr w:type="gramStart"/>
        <w:proofErr w:type="gramEnd"/>
      </w:p>
    </w:sdtContent>
  </w:sdt>
  <w:p w14:paraId="4970DE6B" w14:textId="77777777" w:rsidR="00AE1001" w:rsidRDefault="00AE10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8A5E" w14:textId="77777777" w:rsidR="000F52BC" w:rsidRDefault="000F52BC" w:rsidP="000614E1">
      <w:pPr>
        <w:spacing w:line="240" w:lineRule="auto"/>
      </w:pPr>
      <w:r>
        <w:separator/>
      </w:r>
    </w:p>
  </w:footnote>
  <w:footnote w:type="continuationSeparator" w:id="0">
    <w:p w14:paraId="07F6BE0E" w14:textId="77777777" w:rsidR="000F52BC" w:rsidRDefault="000F52BC" w:rsidP="000614E1">
      <w:pPr>
        <w:spacing w:line="240" w:lineRule="auto"/>
      </w:pPr>
      <w:r>
        <w:continuationSeparator/>
      </w:r>
    </w:p>
  </w:footnote>
  <w:footnote w:id="1">
    <w:p w14:paraId="3391512A" w14:textId="77777777" w:rsidR="00AE1001" w:rsidRDefault="00AE1001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2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9"/>
  </w:num>
  <w:num w:numId="6">
    <w:abstractNumId w:val="25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24"/>
  </w:num>
  <w:num w:numId="16">
    <w:abstractNumId w:val="8"/>
  </w:num>
  <w:num w:numId="17">
    <w:abstractNumId w:val="14"/>
  </w:num>
  <w:num w:numId="18">
    <w:abstractNumId w:val="18"/>
  </w:num>
  <w:num w:numId="19">
    <w:abstractNumId w:val="4"/>
  </w:num>
  <w:num w:numId="20">
    <w:abstractNumId w:val="6"/>
  </w:num>
  <w:num w:numId="21">
    <w:abstractNumId w:val="27"/>
  </w:num>
  <w:num w:numId="22">
    <w:abstractNumId w:val="22"/>
  </w:num>
  <w:num w:numId="23">
    <w:abstractNumId w:val="19"/>
  </w:num>
  <w:num w:numId="24">
    <w:abstractNumId w:val="28"/>
  </w:num>
  <w:num w:numId="25">
    <w:abstractNumId w:val="26"/>
  </w:num>
  <w:num w:numId="26">
    <w:abstractNumId w:val="17"/>
  </w:num>
  <w:num w:numId="27">
    <w:abstractNumId w:val="15"/>
  </w:num>
  <w:num w:numId="28">
    <w:abstractNumId w:val="2"/>
  </w:num>
  <w:num w:numId="29">
    <w:abstractNumId w:val="13"/>
  </w:num>
  <w:num w:numId="3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2E6B"/>
    <w:rsid w:val="00034DFD"/>
    <w:rsid w:val="000448EA"/>
    <w:rsid w:val="00044983"/>
    <w:rsid w:val="00050302"/>
    <w:rsid w:val="0005237C"/>
    <w:rsid w:val="0005356E"/>
    <w:rsid w:val="00056201"/>
    <w:rsid w:val="0006011B"/>
    <w:rsid w:val="000614E1"/>
    <w:rsid w:val="00067F6A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2D97"/>
    <w:rsid w:val="000D3E31"/>
    <w:rsid w:val="000D4FE6"/>
    <w:rsid w:val="000E0A46"/>
    <w:rsid w:val="000E2EA4"/>
    <w:rsid w:val="000E496B"/>
    <w:rsid w:val="000F52BC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44BA"/>
    <w:rsid w:val="00203EC7"/>
    <w:rsid w:val="00205AAB"/>
    <w:rsid w:val="00207F54"/>
    <w:rsid w:val="00215CEA"/>
    <w:rsid w:val="002179FC"/>
    <w:rsid w:val="00217F15"/>
    <w:rsid w:val="00220E4D"/>
    <w:rsid w:val="00242A7B"/>
    <w:rsid w:val="00243E89"/>
    <w:rsid w:val="002458BE"/>
    <w:rsid w:val="00246DA8"/>
    <w:rsid w:val="00250368"/>
    <w:rsid w:val="002550F5"/>
    <w:rsid w:val="00261435"/>
    <w:rsid w:val="00265824"/>
    <w:rsid w:val="0027034D"/>
    <w:rsid w:val="00271E1F"/>
    <w:rsid w:val="00273501"/>
    <w:rsid w:val="00281A0E"/>
    <w:rsid w:val="002B1585"/>
    <w:rsid w:val="002B4272"/>
    <w:rsid w:val="002B7E75"/>
    <w:rsid w:val="002C245D"/>
    <w:rsid w:val="002C3E00"/>
    <w:rsid w:val="002C782D"/>
    <w:rsid w:val="002D36D1"/>
    <w:rsid w:val="002E1A3B"/>
    <w:rsid w:val="002E465C"/>
    <w:rsid w:val="002E5D24"/>
    <w:rsid w:val="002E68E1"/>
    <w:rsid w:val="002F0E81"/>
    <w:rsid w:val="00301B7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04511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4E29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193"/>
    <w:rsid w:val="0053536A"/>
    <w:rsid w:val="00536CB3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38EF"/>
    <w:rsid w:val="005C000F"/>
    <w:rsid w:val="005C3A00"/>
    <w:rsid w:val="005C7800"/>
    <w:rsid w:val="005E0A2F"/>
    <w:rsid w:val="005E3B67"/>
    <w:rsid w:val="005F2B60"/>
    <w:rsid w:val="005F3A61"/>
    <w:rsid w:val="0061027D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1FD8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375B6"/>
    <w:rsid w:val="007431D6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85773"/>
    <w:rsid w:val="00890EA6"/>
    <w:rsid w:val="0089355A"/>
    <w:rsid w:val="008A0589"/>
    <w:rsid w:val="008A0898"/>
    <w:rsid w:val="008A7C23"/>
    <w:rsid w:val="008B3DFB"/>
    <w:rsid w:val="008B5947"/>
    <w:rsid w:val="008B671B"/>
    <w:rsid w:val="008B6CF5"/>
    <w:rsid w:val="008B7F48"/>
    <w:rsid w:val="008C486E"/>
    <w:rsid w:val="008C51D6"/>
    <w:rsid w:val="008D2CA0"/>
    <w:rsid w:val="008D53BA"/>
    <w:rsid w:val="008D7283"/>
    <w:rsid w:val="008E2407"/>
    <w:rsid w:val="008F4734"/>
    <w:rsid w:val="008F7CFB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3881"/>
    <w:rsid w:val="00937D5B"/>
    <w:rsid w:val="0094206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EAE"/>
    <w:rsid w:val="00A12551"/>
    <w:rsid w:val="00A1771B"/>
    <w:rsid w:val="00A20697"/>
    <w:rsid w:val="00A308A8"/>
    <w:rsid w:val="00A32F79"/>
    <w:rsid w:val="00A40DF1"/>
    <w:rsid w:val="00A41286"/>
    <w:rsid w:val="00A4129C"/>
    <w:rsid w:val="00A41754"/>
    <w:rsid w:val="00A514CF"/>
    <w:rsid w:val="00A515B5"/>
    <w:rsid w:val="00A51B3C"/>
    <w:rsid w:val="00A57DB8"/>
    <w:rsid w:val="00A6737C"/>
    <w:rsid w:val="00A75596"/>
    <w:rsid w:val="00A8282D"/>
    <w:rsid w:val="00A9049A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E1001"/>
    <w:rsid w:val="00AF791C"/>
    <w:rsid w:val="00B0039D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55711"/>
    <w:rsid w:val="00B61F5C"/>
    <w:rsid w:val="00B63302"/>
    <w:rsid w:val="00B63545"/>
    <w:rsid w:val="00B63FBC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427A"/>
    <w:rsid w:val="00BF78F9"/>
    <w:rsid w:val="00C006C7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3156"/>
    <w:rsid w:val="00C445F8"/>
    <w:rsid w:val="00C52DC7"/>
    <w:rsid w:val="00C5566E"/>
    <w:rsid w:val="00C57309"/>
    <w:rsid w:val="00C662E0"/>
    <w:rsid w:val="00C74AF3"/>
    <w:rsid w:val="00C74CFA"/>
    <w:rsid w:val="00C81224"/>
    <w:rsid w:val="00C81CCB"/>
    <w:rsid w:val="00C82983"/>
    <w:rsid w:val="00C86359"/>
    <w:rsid w:val="00C9103F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1462"/>
    <w:rsid w:val="00D654DE"/>
    <w:rsid w:val="00D66AAE"/>
    <w:rsid w:val="00D824D8"/>
    <w:rsid w:val="00D83785"/>
    <w:rsid w:val="00D90070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1A0F"/>
    <w:rsid w:val="00E821AE"/>
    <w:rsid w:val="00E85C50"/>
    <w:rsid w:val="00E94FEA"/>
    <w:rsid w:val="00E95E0C"/>
    <w:rsid w:val="00E965AF"/>
    <w:rsid w:val="00EA1FC7"/>
    <w:rsid w:val="00EA7A12"/>
    <w:rsid w:val="00EB21C4"/>
    <w:rsid w:val="00EB4185"/>
    <w:rsid w:val="00EC544E"/>
    <w:rsid w:val="00EC794C"/>
    <w:rsid w:val="00ED259E"/>
    <w:rsid w:val="00ED3B72"/>
    <w:rsid w:val="00ED41F9"/>
    <w:rsid w:val="00ED4A3D"/>
    <w:rsid w:val="00ED6E21"/>
    <w:rsid w:val="00EE630D"/>
    <w:rsid w:val="00EF0D63"/>
    <w:rsid w:val="00EF45D8"/>
    <w:rsid w:val="00EF696F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3338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1CC6"/>
    <w:rsid w:val="00FB5E97"/>
    <w:rsid w:val="00FB5E9D"/>
    <w:rsid w:val="00FC667E"/>
    <w:rsid w:val="00FD210F"/>
    <w:rsid w:val="00FD32A6"/>
    <w:rsid w:val="00FD5541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tiago\Desktop\proj\rep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E853038F-DE29-4A1F-A250-1A4CF1A1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33</Pages>
  <Words>4301</Words>
  <Characters>23226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Oliveira</cp:lastModifiedBy>
  <cp:revision>501</cp:revision>
  <cp:lastPrinted>2015-04-22T18:07:00Z</cp:lastPrinted>
  <dcterms:created xsi:type="dcterms:W3CDTF">2015-04-06T11:13:00Z</dcterms:created>
  <dcterms:modified xsi:type="dcterms:W3CDTF">2016-05-02T18:10:00Z</dcterms:modified>
</cp:coreProperties>
</file>