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09"/>
        <w:gridCol w:w="8362"/>
      </w:tblGrid>
      <w:tr>
        <w:tc>
          <w:tcPr>
            <w:tcW w:type="dxa" w:w="4535"/>
            <w:shd w:fill="00A6C8"/>
            <w:tcMar>
              <w:top w:w="170" w:type="dxa"/>
              <w:start w:w="150" w:type="dxa"/>
              <w:bottom w:w="170" w:type="dxa"/>
              <w:end w:w="150" w:type="dxa"/>
            </w:tcMar>
          </w:tcPr>
          <w:p/>
        </w:tc>
        <w:tc>
          <w:tcPr>
            <w:tcW w:type="dxa" w:w="4535"/>
            <w:shd w:fill="0B2545"/>
            <w:tcMar>
              <w:top w:w="170" w:type="dxa"/>
              <w:start w:w="150" w:type="dxa"/>
              <w:bottom w:w="170" w:type="dxa"/>
              <w:end w:w="15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CHECKPOINT 01   DEVSECOPS</w:t>
            </w:r>
          </w:p>
        </w:tc>
      </w:tr>
    </w:tbl>
    <w:p/>
    <w:p/>
    <w:p/>
    <w:p>
      <w:pPr>
        <w:pStyle w:val="Title"/>
        <w:ind w:firstLine="0"/>
      </w:pPr>
      <w:r>
        <w:rPr>
          <w:rFonts w:ascii="Arial" w:hAnsi="Arial" w:eastAsia="Arial"/>
          <w:b/>
          <w:color w:val="000000"/>
          <w:sz w:val="48"/>
        </w:rPr>
        <w:t>Ferramentas open source de SAST SCA IaC Security e DAST no pipeline DevSecOps</w:t>
      </w:r>
    </w:p>
    <w:p>
      <w:pPr>
        <w:spacing w:after="480"/>
        <w:ind w:firstLine="0"/>
      </w:pPr>
      <w:r>
        <w:rPr>
          <w:rFonts w:ascii="Arial" w:hAnsi="Arial" w:eastAsia="Arial"/>
          <w:color w:val="153B5B"/>
          <w:sz w:val="26"/>
        </w:rPr>
        <w:t>Análise do Grupo 4 com Semgrep OWASP Dependency Check Checkov e OWASP ZAP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0B2545"/>
            <w:tcMar>
              <w:top w:w="180" w:type="dxa"/>
              <w:start w:w="90" w:type="dxa"/>
              <w:bottom w:w="180" w:type="dxa"/>
              <w:end w:w="9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Arial" w:hAnsi="Arial" w:eastAsia="Arial"/>
                <w:b/>
                <w:color w:val="00A6C8"/>
                <w:sz w:val="20"/>
              </w:rPr>
              <w:t>SAST</w:t>
              <w:br/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Semgrep</w:t>
            </w:r>
          </w:p>
        </w:tc>
        <w:tc>
          <w:tcPr>
            <w:tcW w:type="dxa" w:w="2268"/>
            <w:shd w:fill="153B5B"/>
            <w:tcMar>
              <w:top w:w="180" w:type="dxa"/>
              <w:start w:w="90" w:type="dxa"/>
              <w:bottom w:w="180" w:type="dxa"/>
              <w:end w:w="9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Arial" w:hAnsi="Arial" w:eastAsia="Arial"/>
                <w:b/>
                <w:color w:val="00A6C8"/>
                <w:sz w:val="20"/>
              </w:rPr>
              <w:t>SCA</w:t>
              <w:br/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Dependency Check</w:t>
            </w:r>
          </w:p>
        </w:tc>
        <w:tc>
          <w:tcPr>
            <w:tcW w:type="dxa" w:w="2268"/>
            <w:shd w:fill="0B2545"/>
            <w:tcMar>
              <w:top w:w="180" w:type="dxa"/>
              <w:start w:w="90" w:type="dxa"/>
              <w:bottom w:w="180" w:type="dxa"/>
              <w:end w:w="9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Arial" w:hAnsi="Arial" w:eastAsia="Arial"/>
                <w:b/>
                <w:color w:val="00A6C8"/>
                <w:sz w:val="20"/>
              </w:rPr>
              <w:t>IaC</w:t>
              <w:br/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Checkov</w:t>
            </w:r>
          </w:p>
        </w:tc>
        <w:tc>
          <w:tcPr>
            <w:tcW w:type="dxa" w:w="2268"/>
            <w:shd w:fill="153B5B"/>
            <w:tcMar>
              <w:top w:w="180" w:type="dxa"/>
              <w:start w:w="90" w:type="dxa"/>
              <w:bottom w:w="180" w:type="dxa"/>
              <w:end w:w="90" w:type="dxa"/>
            </w:tcMar>
          </w:tcPr>
          <w:p>
            <w:pPr>
              <w:spacing w:after="40"/>
              <w:ind w:firstLine="0"/>
              <w:jc w:val="center"/>
            </w:pPr>
            <w:r>
              <w:rPr>
                <w:rFonts w:ascii="Arial" w:hAnsi="Arial" w:eastAsia="Arial"/>
                <w:b/>
                <w:color w:val="00A6C8"/>
                <w:sz w:val="20"/>
              </w:rPr>
              <w:t>DAST</w:t>
              <w:br/>
            </w:r>
            <w:r>
              <w:rPr>
                <w:rFonts w:ascii="Arial" w:hAnsi="Arial" w:eastAsia="Arial"/>
                <w:b/>
                <w:color w:val="FFFFFF"/>
                <w:sz w:val="18"/>
              </w:rPr>
              <w:t>OWASP ZAP</w:t>
            </w:r>
          </w:p>
        </w:tc>
      </w:tr>
    </w:tbl>
    <w:p/>
    <w:p/>
    <w:p/>
    <w:p/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7087"/>
      </w:tblGrid>
      <w:tr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0B2545"/>
                <w:sz w:val="21"/>
              </w:rPr>
              <w:t>Disciplina</w:t>
            </w:r>
          </w:p>
        </w:tc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 w:val="0"/>
                <w:color w:val="000000"/>
                <w:sz w:val="21"/>
              </w:rPr>
              <w:t>DevSecOps preparatório E|CDE</w:t>
            </w:r>
          </w:p>
        </w:tc>
      </w:tr>
      <w:tr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0B2545"/>
                <w:sz w:val="21"/>
              </w:rPr>
              <w:t>Turma e professor</w:t>
            </w:r>
          </w:p>
        </w:tc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 w:val="0"/>
                <w:color w:val="000000"/>
                <w:sz w:val="21"/>
              </w:rPr>
              <w:t>2TDCPF · Fabio Pires</w:t>
            </w:r>
          </w:p>
        </w:tc>
      </w:tr>
      <w:tr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0B2545"/>
                <w:sz w:val="21"/>
              </w:rPr>
              <w:t>Líder técnico</w:t>
            </w:r>
          </w:p>
        </w:tc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 w:val="0"/>
                <w:color w:val="000000"/>
                <w:sz w:val="21"/>
              </w:rPr>
              <w:t>Tiago Louzã</w:t>
            </w:r>
          </w:p>
        </w:tc>
      </w:tr>
      <w:tr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0B2545"/>
                <w:sz w:val="21"/>
              </w:rPr>
              <w:t>Integrantes</w:t>
            </w:r>
          </w:p>
        </w:tc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 w:val="0"/>
                <w:color w:val="000000"/>
                <w:sz w:val="21"/>
              </w:rPr>
              <w:t>Leando de Souza Silva · Luiz Fernando · Fabricio de Freitas Evangelista · Erik Gunnar</w:t>
            </w:r>
          </w:p>
        </w:tc>
      </w:tr>
      <w:tr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/>
                <w:color w:val="0B2545"/>
                <w:sz w:val="21"/>
              </w:rPr>
              <w:t>Local e ano</w:t>
            </w:r>
          </w:p>
        </w:tc>
        <w:tc>
          <w:tcPr>
            <w:tcW w:type="dxa" w:w="4535"/>
            <w:tcMar>
              <w:top w:w="75" w:type="dxa"/>
              <w:start w:w="0" w:type="dxa"/>
              <w:bottom w:w="75" w:type="dxa"/>
              <w:end w:w="100" w:type="dxa"/>
            </w:tcMar>
          </w:tcPr>
          <w:p>
            <w:pPr>
              <w:spacing w:after="0"/>
              <w:ind w:firstLine="0"/>
            </w:pPr>
            <w:r>
              <w:rPr>
                <w:rFonts w:ascii="Arial" w:hAnsi="Arial" w:eastAsia="Arial"/>
                <w:b w:val="0"/>
                <w:color w:val="000000"/>
                <w:sz w:val="21"/>
              </w:rPr>
              <w:t>São Paulo 2026</w:t>
            </w:r>
          </w:p>
        </w:tc>
      </w:tr>
    </w:tbl>
    <w:p>
      <w:r>
        <w:br w:type="page"/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DADOS DO TRABALHO</w:t>
      </w:r>
    </w:p>
    <w:p>
      <w:pPr>
        <w:pStyle w:val="Heading1"/>
        <w:ind w:firstLine="0"/>
        <w:keepNext/>
        <w:keepLines/>
      </w:pPr>
      <w:r>
        <w:t>Identificação do trabalho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721"/>
        <w:gridCol w:w="6350"/>
      </w:tblGrid>
      <w:tr>
        <w:trPr>
          <w:tblHeader w:val="true"/>
        </w:trPr>
        <w:tc>
          <w:tcPr>
            <w:tcW w:type="dxa" w:w="272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350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Informação</w:t>
            </w:r>
          </w:p>
        </w:tc>
      </w:tr>
      <w:tr>
        <w:tc>
          <w:tcPr>
            <w:tcW w:type="dxa" w:w="272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Tema</w:t>
            </w:r>
          </w:p>
        </w:tc>
        <w:tc>
          <w:tcPr>
            <w:tcW w:type="dxa" w:w="63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Ferramentas open source de SAST, SCA, IaC Security e DAST</w:t>
            </w:r>
          </w:p>
        </w:tc>
      </w:tr>
      <w:tr>
        <w:tc>
          <w:tcPr>
            <w:tcW w:type="dxa" w:w="272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Ferramentas do Grupo 4</w:t>
            </w:r>
          </w:p>
        </w:tc>
        <w:tc>
          <w:tcPr>
            <w:tcW w:type="dxa" w:w="6350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Semgrep, OWASP Dependency-Check, Checkov e OWASP ZAP</w:t>
            </w:r>
          </w:p>
        </w:tc>
      </w:tr>
      <w:tr>
        <w:tc>
          <w:tcPr>
            <w:tcW w:type="dxa" w:w="272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Alvo autorizado</w:t>
            </w:r>
          </w:p>
        </w:tc>
        <w:tc>
          <w:tcPr>
            <w:tcW w:type="dxa" w:w="63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OWASP Juice Shop v20.2.0 em ambiente Docker local</w:t>
            </w:r>
          </w:p>
        </w:tc>
      </w:tr>
      <w:tr>
        <w:tc>
          <w:tcPr>
            <w:tcW w:type="dxa" w:w="272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Laboratório principal</w:t>
            </w:r>
          </w:p>
        </w:tc>
        <w:tc>
          <w:tcPr>
            <w:tcW w:type="dxa" w:w="6350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Semgrep e OWASP ZAP, categorias diferentes</w:t>
            </w:r>
          </w:p>
        </w:tc>
      </w:tr>
      <w:tr>
        <w:tc>
          <w:tcPr>
            <w:tcW w:type="dxa" w:w="272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Execuções complementares</w:t>
            </w:r>
          </w:p>
        </w:tc>
        <w:tc>
          <w:tcPr>
            <w:tcW w:type="dxa" w:w="63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Dependency-Check e Checkov com relatórios versionados</w:t>
            </w:r>
          </w:p>
        </w:tc>
      </w:tr>
      <w:tr>
        <w:tc>
          <w:tcPr>
            <w:tcW w:type="dxa" w:w="272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Política de gate</w:t>
            </w:r>
          </w:p>
        </w:tc>
        <w:tc>
          <w:tcPr>
            <w:tcW w:type="dxa" w:w="6350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Bloqueio de achados HIGH e CRITICAL</w:t>
            </w:r>
          </w:p>
        </w:tc>
      </w:tr>
      <w:tr>
        <w:tc>
          <w:tcPr>
            <w:tcW w:type="dxa" w:w="272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Data da validação</w:t>
            </w:r>
          </w:p>
        </w:tc>
        <w:tc>
          <w:tcPr>
            <w:tcW w:type="dxa" w:w="6350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15 de setembro de 2026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Síntese das execuções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71"/>
        <w:gridCol w:w="2041"/>
        <w:gridCol w:w="1871"/>
        <w:gridCol w:w="3175"/>
      </w:tblGrid>
      <w:tr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Resultado principal</w:t>
            </w:r>
          </w:p>
        </w:tc>
      </w:tr>
      <w:tr>
        <w:tc>
          <w:tcPr>
            <w:tcW w:type="dxa" w:w="187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Semgrep</w:t>
            </w:r>
          </w:p>
        </w:tc>
        <w:tc>
          <w:tcPr>
            <w:tcW w:type="dxa" w:w="204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SAST</w:t>
            </w:r>
          </w:p>
        </w:tc>
        <w:tc>
          <w:tcPr>
            <w:tcW w:type="dxa" w:w="187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Concluído</w:t>
            </w:r>
          </w:p>
        </w:tc>
        <w:tc>
          <w:tcPr>
            <w:tcW w:type="dxa" w:w="317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69 achados no scan geral; red com 1 HIGH e green sem achados</w:t>
            </w:r>
          </w:p>
        </w:tc>
      </w:tr>
      <w:tr>
        <w:tc>
          <w:tcPr>
            <w:tcW w:type="dxa" w:w="187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Dependency-Check</w:t>
            </w:r>
          </w:p>
        </w:tc>
        <w:tc>
          <w:tcPr>
            <w:tcW w:type="dxa" w:w="204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SCA</w:t>
            </w:r>
          </w:p>
        </w:tc>
        <w:tc>
          <w:tcPr>
            <w:tcW w:type="dxa" w:w="187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B26A00"/>
                <w:sz w:val="18"/>
              </w:rPr>
              <w:t>Inconclusivo</w:t>
            </w:r>
          </w:p>
        </w:tc>
        <w:tc>
          <w:tcPr>
            <w:tcW w:type="dxa" w:w="317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15 dependências, 0 CVEs e cobertura reduzida por ausência de lockfiles</w:t>
            </w:r>
          </w:p>
        </w:tc>
      </w:tr>
      <w:tr>
        <w:tc>
          <w:tcPr>
            <w:tcW w:type="dxa" w:w="187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Checkov</w:t>
            </w:r>
          </w:p>
        </w:tc>
        <w:tc>
          <w:tcPr>
            <w:tcW w:type="dxa" w:w="204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IaC</w:t>
            </w:r>
          </w:p>
        </w:tc>
        <w:tc>
          <w:tcPr>
            <w:tcW w:type="dxa" w:w="187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Concluído</w:t>
            </w:r>
          </w:p>
        </w:tc>
        <w:tc>
          <w:tcPr>
            <w:tcW w:type="dxa" w:w="317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42 controles aprovados e 24 reprovados no Terraform oficial</w:t>
            </w:r>
          </w:p>
        </w:tc>
      </w:tr>
      <w:tr>
        <w:tc>
          <w:tcPr>
            <w:tcW w:type="dxa" w:w="187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OWASP ZAP</w:t>
            </w:r>
          </w:p>
        </w:tc>
        <w:tc>
          <w:tcPr>
            <w:tcW w:type="dxa" w:w="204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DAST</w:t>
            </w:r>
          </w:p>
        </w:tc>
        <w:tc>
          <w:tcPr>
            <w:tcW w:type="dxa" w:w="187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2E7D32"/>
                <w:sz w:val="18"/>
              </w:rPr>
              <w:t>Concluído</w:t>
            </w:r>
          </w:p>
        </w:tc>
        <w:tc>
          <w:tcPr>
            <w:tcW w:type="dxa" w:w="317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spacing w:line="252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11 tipos de alerta, com 1 HIGH; gate bloqueado</w:t>
            </w:r>
          </w:p>
        </w:tc>
      </w:tr>
    </w:tbl>
    <w:p/>
    <w:p>
      <w:pPr>
        <w:spacing w:after="120"/>
      </w:pPr>
      <w:r>
        <w:rPr>
          <w:rFonts w:ascii="Arial" w:hAnsi="Arial" w:eastAsia="Arial"/>
          <w:color w:val="000000"/>
          <w:sz w:val="22"/>
        </w:rPr>
        <w:t>Todos os resultados foram mantidos em formatos legíveis e processáveis por máquina. Os relatórios JSON, SARIF e HTML permitem reproduzir a análise, revisar a classificação e demonstrar o gate mesmo quando o ambiente ao vivo não estiver disponível.</w:t>
      </w:r>
    </w:p>
    <w:p>
      <w:r>
        <w:br w:type="page"/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VISÃO EXECUTIVA</w:t>
      </w:r>
    </w:p>
    <w:p>
      <w:pPr>
        <w:pStyle w:val="Heading1"/>
        <w:ind w:firstLine="0"/>
        <w:keepNext/>
        <w:keepLines/>
      </w:pPr>
      <w:r>
        <w:t>Resumo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Este relatório compara Semgrep, OWASP Dependency-Check, Checkov e OWASP ZAP no pipeline DevSecOps e registra a execução das quatro ferramentas atribuídas ao Grupo 4. O alvo foi o OWASP Juice Shop v20.2.0, aplicação deliberadamente vulnerável e autorizada para treinamento. O ambiente foi isolado com Docker e os resultados foram preservados no repositório para auditoria e apresentação.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Semgrep foi executado com a configuração geral da comunidade, sem regra própria do grupo. O scan completo percorreu 1.027 arquivos, aplicou 408 regras e reportou 69 achados. A demonstração red e green manteve o mesmo --config auto e restringiu apenas o alvo a routes/search.ts: a regra comunitária de injeção via Sequelize produziu um ERROR normalizado como HIGH, a consulta foi parametrizada com replacements e a repetição do scan passou sem achados no arquivo corrigido.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Dependency-Check terminou em sete segundos, identificou 15 dependências e não reportou CVEs. Esse zero não foi tratado como evidência de segurança, pois o projeto analisado não continha os lockfiles nem node_modules necessários para um inventário completo, e quatro arquivos de teste geraram exceções. O Checkov, por sua vez, aplicou políticas nativas ao Terraform oficial do Juice Shop: 42 verificações passaram e 24 falharam, com problemas de exposição pública, HTTP sem redirecionamento para HTTPS, ausência de logs e falta de WAF.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ZAP executou spiders e active scan apenas contra o contêiner local. Foram descobertas 234 URLs pelo AJAX spider e registrados 11 tipos de alerta em 39 instâncias. A SQL Injection HIGH foi correlacionada com a linha de código identificada pelo Semgrep. O gate bloqueou os cenários vulneráveis e aprovou o recorte SAST corrigido. O resultado confirma que SAST, SCA, IaC Security e DAST respondem a perguntas diferentes e precisam coexistir, com critérios de cobertura e triagem explícitos.</w:t>
      </w:r>
    </w:p>
    <w:p>
      <w:pPr>
        <w:spacing w:after="120"/>
        <w:ind w:firstLine="0"/>
      </w:pPr>
      <w:r>
        <w:rPr>
          <w:rFonts w:ascii="Arial" w:hAnsi="Arial" w:eastAsia="Arial"/>
          <w:color w:val="000000"/>
          <w:sz w:val="22"/>
        </w:rPr>
        <w:t>Palavras-chave: DevSecOps; SAST; SCA; IaC Security; DAST; Semgrep; Dependency-Check; Checkov; OWASP ZAP; quality gate.</w:t>
      </w:r>
    </w:p>
    <w:p>
      <w:r>
        <w:br w:type="page"/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NAVEGAÇÃO</w:t>
      </w:r>
    </w:p>
    <w:p>
      <w:pPr>
        <w:pStyle w:val="Heading1"/>
        <w:ind w:firstLine="0"/>
        <w:keepNext/>
        <w:keepLines/>
      </w:pPr>
      <w:r>
        <w:t>Sumário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7654"/>
        <w:gridCol w:w="1417"/>
      </w:tblGrid>
      <w:tr>
        <w:trPr>
          <w:tblHeader w:val="true"/>
        </w:trPr>
        <w:tc>
          <w:tcPr>
            <w:tcW w:type="dxa" w:w="765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Seção</w:t>
            </w:r>
          </w:p>
        </w:tc>
        <w:tc>
          <w:tcPr>
            <w:tcW w:type="dxa" w:w="141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9"/>
              </w:rPr>
              <w:t>Página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1 Introdução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2 Fundamentos e posicionamento no pipeline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3 Metodologia do laboratório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8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4 Semgrep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9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5 OWASP Dependency Check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14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6 Checkov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17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7 OWASP ZAP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8 Análise dos achados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24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9 Comparação e escolha do toolchain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26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10 Integração contínua e quality gate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27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11 Limitações e conclusão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28</w:t>
            </w:r>
          </w:p>
        </w:tc>
      </w:tr>
      <w:tr>
        <w:tc>
          <w:tcPr>
            <w:tcW w:type="dxa" w:w="76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Referências</w:t>
            </w:r>
          </w:p>
        </w:tc>
        <w:tc>
          <w:tcPr>
            <w:tcW w:type="dxa" w:w="141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30</w:t>
            </w:r>
          </w:p>
        </w:tc>
      </w:tr>
      <w:tr>
        <w:tc>
          <w:tcPr>
            <w:tcW w:type="dxa" w:w="76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9"/>
              </w:rPr>
              <w:t>Apêndices</w:t>
            </w:r>
          </w:p>
        </w:tc>
        <w:tc>
          <w:tcPr>
            <w:tcW w:type="dxa" w:w="141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9"/>
              </w:rPr>
              <w:t>31</w:t>
            </w:r>
          </w:p>
        </w:tc>
      </w:tr>
    </w:tbl>
    <w:p>
      <w:pPr>
        <w:spacing w:after="40"/>
        <w:ind w:firstLine="0"/>
      </w:pPr>
    </w:p>
    <w:p>
      <w:pPr>
        <w:spacing w:after="120"/>
        <w:ind w:firstLine="0"/>
      </w:pPr>
      <w:r>
        <w:rPr>
          <w:rFonts w:ascii="Arial" w:hAnsi="Arial" w:eastAsia="Arial"/>
          <w:color w:val="000000"/>
          <w:sz w:val="22"/>
        </w:rPr>
        <w:t>A numeração corresponde ao PDF validado. Os apêndices reúnem os comandos e o mapa completo das evidências versionadas.</w:t>
      </w:r>
    </w:p>
    <w:p>
      <w:r>
        <w:br w:type="page"/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ESCOPO E OBJETIVOS</w:t>
      </w:r>
    </w:p>
    <w:p>
      <w:pPr>
        <w:pStyle w:val="Heading1"/>
        <w:ind w:firstLine="0"/>
        <w:keepNext/>
        <w:keepLines/>
      </w:pPr>
      <w:r>
        <w:t>1 Introdução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DevSecOps incorpora verificações de segurança ao desenvolvimento para reduzir o intervalo entre a introdução de uma falha e sua correção. O objetivo não é acumular scanners, mas posicionar controles com entradas, saídas e responsáveis definidos. O NIST SSDF recomenda que a organização prepare pessoas e processos, proteja o software, produza componentes seguros e responda a vulnerabilidades durante todo o ciclo [1].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trabalho do Grupo 4 cobre quatro frentes complementares. O Semgrep analisa o código escrito pela equipe; o Dependency-Check procura vulnerabilidades conhecidas nas dependências; o Checkov avalia configurações de infraestrutura como código; e o ZAP interage com a aplicação em execução. As quatro ferramentas são open source, automatizáveis e capazes de produzir resultados para integração contínua, mas operam sobre evidências diferentes.</w:t>
      </w:r>
    </w:p>
    <w:p>
      <w:pPr>
        <w:pStyle w:val="Heading2"/>
        <w:ind w:firstLine="0"/>
        <w:keepNext/>
        <w:keepLines/>
      </w:pPr>
      <w:r>
        <w:t>Objetivo geral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Avaliar tecnicamente as quatro ferramentas atribuídas ao Grupo 4, executar cada uma em um alvo autorizado e demonstrar como os resultados podem interromper ou permitir a progressão de uma entrega.</w:t>
      </w:r>
    </w:p>
    <w:p>
      <w:pPr>
        <w:pStyle w:val="Heading2"/>
        <w:ind w:firstLine="0"/>
        <w:keepNext/>
        <w:keepLines/>
      </w:pPr>
      <w:r>
        <w:t>Objetivos específicos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Diferenciar SAST, SCA, IaC Security e DAST quanto à entrada, técnica, momento de execução e limitações.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Registrar identificação, manutenção, licença, comunidade, instalação, formatos e integrações de cada ferramenta.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Executar as quatro ferramentas e interpretar resultados, inclusive quando a cobertura for insuficiente.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Demonstrar build red e green com Semgrep e um bloqueio DAST com OWASP ZAP.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Classificar três achados como verdadeiro positivo ou falso positivo e propor correções verificáveis.</w:t>
      </w:r>
    </w:p>
    <w:p>
      <w:r>
        <w:br w:type="page"/>
      </w:r>
    </w:p>
    <w:p>
      <w:pPr>
        <w:pStyle w:val="Heading2"/>
        <w:ind w:firstLine="0"/>
        <w:keepNext/>
        <w:keepLines/>
      </w:pPr>
      <w:r>
        <w:t>Questão de pesquisa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Como um conjunto de ferramentas open source pode ampliar a cobertura de segurança sem transformar a pipeline em uma coleção de alertas sem contexto? A resposta adotada é combinar controles em camadas, preservar os relatórios originais e aplicar gates apenas quando a equipe consegue explicar o limiar, a cobertura e o tratamento de exceções.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SAST SCA IAC E DAST</w:t>
      </w:r>
    </w:p>
    <w:p>
      <w:pPr>
        <w:pStyle w:val="Heading1"/>
        <w:ind w:firstLine="0"/>
        <w:keepNext/>
        <w:keepLines/>
      </w:pPr>
      <w:r>
        <w:t>2 Fundamentos e posicionamento no pipeline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As categorias não competem pelo mesmo problema. SAST observa o código próprio antes da execução. SCA constrói um inventário de componentes de terceiros e correlaciona versões com vulnerabilidades publicadas. IaC Security interpreta arquivos declarativos que criarão recursos. DAST envia requisições a um sistema ativo e avalia respostas. A diferença entre SAST e SCA é especialmente importante: uma falha no código da equipe requer alteração de implementação; uma vulnerabilidade em dependência exige atualizar, substituir, remover ou mitigar um componente.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247"/>
        <w:gridCol w:w="3005"/>
        <w:gridCol w:w="2041"/>
        <w:gridCol w:w="1247"/>
        <w:gridCol w:w="1531"/>
      </w:tblGrid>
      <w:tr>
        <w:trPr>
          <w:tblHeader w:val="true"/>
        </w:trPr>
        <w:tc>
          <w:tcPr>
            <w:tcW w:type="dxa" w:w="124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Categoria</w:t>
            </w:r>
          </w:p>
        </w:tc>
        <w:tc>
          <w:tcPr>
            <w:tcW w:type="dxa" w:w="300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Pergunta respondida</w:t>
            </w:r>
          </w:p>
        </w:tc>
        <w:tc>
          <w:tcPr>
            <w:tcW w:type="dxa" w:w="204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Entrada principal</w:t>
            </w:r>
          </w:p>
        </w:tc>
        <w:tc>
          <w:tcPr>
            <w:tcW w:type="dxa" w:w="124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Aplicação ativa</w:t>
            </w:r>
          </w:p>
        </w:tc>
        <w:tc>
          <w:tcPr>
            <w:tcW w:type="dxa" w:w="153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Estágio</w:t>
            </w:r>
          </w:p>
        </w:tc>
      </w:tr>
      <w:tr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SAST</w:t>
            </w:r>
          </w:p>
        </w:tc>
        <w:tc>
          <w:tcPr>
            <w:tcW w:type="dxa" w:w="300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Existe padrão inseguro no código próprio?</w:t>
            </w:r>
          </w:p>
        </w:tc>
        <w:tc>
          <w:tcPr>
            <w:tcW w:type="dxa" w:w="204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Código-fonte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Não</w:t>
            </w:r>
          </w:p>
        </w:tc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Code e Build</w:t>
            </w:r>
          </w:p>
        </w:tc>
      </w:tr>
      <w:tr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SCA</w:t>
            </w:r>
          </w:p>
        </w:tc>
        <w:tc>
          <w:tcPr>
            <w:tcW w:type="dxa" w:w="300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Há componente conhecido como vulnerável?</w:t>
            </w:r>
          </w:p>
        </w:tc>
        <w:tc>
          <w:tcPr>
            <w:tcW w:type="dxa" w:w="204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Manifesto, lockfile e SBOM</w:t>
            </w:r>
          </w:p>
        </w:tc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Não</w:t>
            </w:r>
          </w:p>
        </w:tc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Build</w:t>
            </w:r>
          </w:p>
        </w:tc>
      </w:tr>
      <w:tr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IaC</w:t>
            </w:r>
          </w:p>
        </w:tc>
        <w:tc>
          <w:tcPr>
            <w:tcW w:type="dxa" w:w="300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 configuração provisionará recurso inseguro?</w:t>
            </w:r>
          </w:p>
        </w:tc>
        <w:tc>
          <w:tcPr>
            <w:tcW w:type="dxa" w:w="204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Terraform e manifestos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Não</w:t>
            </w:r>
          </w:p>
        </w:tc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Code, Build e Deploy</w:t>
            </w:r>
          </w:p>
        </w:tc>
      </w:tr>
      <w:tr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DAST</w:t>
            </w:r>
          </w:p>
        </w:tc>
        <w:tc>
          <w:tcPr>
            <w:tcW w:type="dxa" w:w="300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O comportamento expõe falha acessível?</w:t>
            </w:r>
          </w:p>
        </w:tc>
        <w:tc>
          <w:tcPr>
            <w:tcW w:type="dxa" w:w="204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Aplicação em execução</w:t>
            </w:r>
          </w:p>
        </w:tc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Sim</w:t>
            </w:r>
          </w:p>
        </w:tc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Test e Release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Shift left sem eliminar o DAST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Shift left antecipa feedback. Semgrep, Dependency-Check e Checkov podem rodar antes de um deploy, quando a correção tende a ser mais simples. Essa antecipação não substitui o ZAP. Um scanner estático não observa cabeçalhos emitidos pelo servidor, composição real de rotas, autenticação de sessão, proxies, variáveis de ambiente ou comportamento integrado. O DAST verifica o que ficou acessível após a montagem do sistema [2].</w:t>
      </w:r>
    </w:p>
    <w:p>
      <w:pPr>
        <w:pStyle w:val="Heading2"/>
        <w:ind w:firstLine="0"/>
        <w:keepNext/>
        <w:keepLines/>
      </w:pPr>
      <w:r>
        <w:t>Cobertura em camadas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Uma pipeline eficiente separa verificações rápidas de verificações profundas. Regras locais e políticas de IaC podem executar em cada pull request. SCA completo exige inventário e atualização de bases. DAST precisa de um ambiente implantado e de tempo para descoberta. O gate deve considerar essas diferenças para não interpretar ausência de achados como cobertura total.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INVENTÁRIO E RASTREABILIDADE</w:t>
      </w:r>
    </w:p>
    <w:p>
      <w:pPr>
        <w:pStyle w:val="Heading2"/>
        <w:ind w:firstLine="0"/>
        <w:keepNext/>
        <w:keepLines/>
      </w:pPr>
      <w:r>
        <w:t>SBOM e relação com SCA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Uma Software Bill of Materials é uma lista estruturada de componentes, versões, fornecedores, identificadores e relações. Ela não é um scanner por si só. A SBOM fornece o inventário que permite perguntar onde um componente vulnerável aparece e quais produtos precisam de resposta. A CISA destaca elementos mínimos como autor do documento, fornecedor, nome, versão, identificadores, relações e data [3].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Dependency-Check pode complementar esse inventário ao tentar identificar componentes e associá-los a CPEs e CVEs. O CycloneDX fornece formatos padronizados para troca de SBOM [21]. A qualidade do SCA depende da qualidade do inventário: sem lockfile, a versão resolvida pode ser desconhecida; sem dependências instaladas, analisadores de ecossistema podem perder componentes; sem atualização da base, uma vulnerabilidade recente pode não aparecer.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701"/>
        <w:gridCol w:w="2665"/>
        <w:gridCol w:w="2268"/>
        <w:gridCol w:w="2438"/>
      </w:tblGrid>
      <w:tr>
        <w:trPr>
          <w:tblHeader w:val="true"/>
        </w:trPr>
        <w:tc>
          <w:tcPr>
            <w:tcW w:type="dxa" w:w="170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266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O que registra</w:t>
            </w:r>
          </w:p>
        </w:tc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Uso no pipeline</w:t>
            </w:r>
          </w:p>
        </w:tc>
        <w:tc>
          <w:tcPr>
            <w:tcW w:type="dxa" w:w="243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Limitação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Manifesto</w:t>
            </w:r>
          </w:p>
        </w:tc>
        <w:tc>
          <w:tcPr>
            <w:tcW w:type="dxa" w:w="266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Dependências declaradas</w:t>
            </w:r>
          </w:p>
        </w:tc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Instalação e resolução</w:t>
            </w:r>
          </w:p>
        </w:tc>
        <w:tc>
          <w:tcPr>
            <w:tcW w:type="dxa" w:w="243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Pode permitir intervalos de versão</w:t>
            </w:r>
          </w:p>
        </w:tc>
      </w:tr>
      <w:tr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Lockfile</w:t>
            </w:r>
          </w:p>
        </w:tc>
        <w:tc>
          <w:tcPr>
            <w:tcW w:type="dxa" w:w="266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Versões efetivamente resolvidas</w:t>
            </w:r>
          </w:p>
        </w:tc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Reprodutibilidade e SCA</w:t>
            </w:r>
          </w:p>
        </w:tc>
        <w:tc>
          <w:tcPr>
            <w:tcW w:type="dxa" w:w="243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Precisa estar atualizado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SBOM</w:t>
            </w:r>
          </w:p>
        </w:tc>
        <w:tc>
          <w:tcPr>
            <w:tcW w:type="dxa" w:w="266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Componentes e relações</w:t>
            </w:r>
          </w:p>
        </w:tc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Inventário e resposta</w:t>
            </w:r>
          </w:p>
        </w:tc>
        <w:tc>
          <w:tcPr>
            <w:tcW w:type="dxa" w:w="243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Não prova explorabilidade</w:t>
            </w:r>
          </w:p>
        </w:tc>
      </w:tr>
      <w:tr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Relatório SCA</w:t>
            </w:r>
          </w:p>
        </w:tc>
        <w:tc>
          <w:tcPr>
            <w:tcW w:type="dxa" w:w="266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Correspondências com vulnerabilidades</w:t>
            </w:r>
          </w:p>
        </w:tc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Triagem e gate</w:t>
            </w:r>
          </w:p>
        </w:tc>
        <w:tc>
          <w:tcPr>
            <w:tcW w:type="dxa" w:w="243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Pode ter falsos positivos e negativos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Critério para gates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gate deste laboratório usa severidade HIGH como limiar por ser simples de demonstrar. Em produção, a decisão precisa acrescentar confiança, alcance, exposição, existência de correção e validade da exceção. O resultado original permanece arquivado; a normalização serve para decidir a pipeline, não para apagar detalhes do scanner.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AMBIENTE E CRITÉRIOS</w:t>
      </w:r>
    </w:p>
    <w:p>
      <w:pPr>
        <w:pStyle w:val="Heading1"/>
        <w:ind w:firstLine="0"/>
        <w:keepNext/>
        <w:keepLines/>
      </w:pPr>
      <w:r>
        <w:t>3 Metodologia do laboratório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laboratório foi executado em Windows com Docker Desktop. O alvo foi a release v20.2.0 do OWASP Juice Shop, autorizada pelo enunciado. O código oficial foi mantido em target/juice-shop. Uma cópia pontual de routes/search.ts foi criada em target/juice-shop-fixed para demonstrar a correção sem alterar a referência vulnerável usada pelo ZAP.</w:t>
      </w:r>
    </w:p>
    <w:p>
      <w:pPr>
        <w:pStyle w:val="Heading2"/>
        <w:ind w:firstLine="0"/>
        <w:keepNext/>
        <w:keepLines/>
      </w:pPr>
      <w:r>
        <w:t>Escopo ético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Todos os testes ativos apontaram para o contêiner local do Juice Shop. O serviço foi publicado apenas em 127.0.0.1:3000 e o ZAP acessou o alvo pela rede interna do Compose. Nenhum domínio público, sistema de terceiros ou ambiente corporativo foi varrido. Essa restrição é parte do método, não apenas uma precaução operacional.</w:t>
      </w:r>
    </w:p>
    <w:p>
      <w:pPr>
        <w:pStyle w:val="Heading2"/>
        <w:ind w:firstLine="0"/>
        <w:keepNext/>
        <w:keepLines/>
      </w:pPr>
      <w:r>
        <w:t>Sequência de execução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Executar Semgrep com --config auto sobre o repositório completo e preservar JSON e log.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Executar o cenário SAST red no arquivo vulnerável e confirmar que o gate bloqueia o HIGH.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Aplicar a consulta parametrizada, repetir o scan e confirmar o cenário green.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Executar Dependency-Check e registrar vulnerabilidades, exceções e limitações do inventário.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Executar Checkov sobre o Terraform oficial com políticas nativas.</w:t>
      </w:r>
    </w:p>
    <w:p>
      <w:pPr>
        <w:pStyle w:val="ListNumber"/>
        <w:spacing w:line="360" w:lineRule="auto" w:after="80"/>
        <w:ind w:left="454" w:hanging="227"/>
      </w:pPr>
      <w:r>
        <w:rPr>
          <w:rFonts w:ascii="Arial" w:hAnsi="Arial" w:eastAsia="Arial"/>
          <w:color w:val="000000"/>
          <w:sz w:val="22"/>
        </w:rPr>
        <w:t>Subir o Juice Shop, executar o plano de automação do ZAP e avaliar o JSON no mesmo gate.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84"/>
        <w:gridCol w:w="1587"/>
        <w:gridCol w:w="3402"/>
        <w:gridCol w:w="2098"/>
      </w:tblGrid>
      <w:tr>
        <w:trPr>
          <w:tblHeader w:val="true"/>
        </w:trPr>
        <w:tc>
          <w:tcPr>
            <w:tcW w:type="dxa" w:w="198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158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Versão executada</w:t>
            </w:r>
          </w:p>
        </w:tc>
        <w:tc>
          <w:tcPr>
            <w:tcW w:type="dxa" w:w="3402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Escopo</w:t>
            </w:r>
          </w:p>
        </w:tc>
        <w:tc>
          <w:tcPr>
            <w:tcW w:type="dxa" w:w="209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Tempo observado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Semgrep</w:t>
            </w:r>
          </w:p>
        </w:tc>
        <w:tc>
          <w:tcPr>
            <w:tcW w:type="dxa" w:w="158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1.172.0</w:t>
            </w:r>
          </w:p>
        </w:tc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1.027 arquivos no geral; 1 arquivo no red e green</w:t>
            </w:r>
          </w:p>
        </w:tc>
        <w:tc>
          <w:tcPr>
            <w:tcW w:type="dxa" w:w="20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cerca de 3 min no geral</w:t>
            </w:r>
          </w:p>
        </w:tc>
      </w:tr>
      <w:tr>
        <w:tc>
          <w:tcPr>
            <w:tcW w:type="dxa" w:w="198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Dependency-Check</w:t>
            </w:r>
          </w:p>
        </w:tc>
        <w:tc>
          <w:tcPr>
            <w:tcW w:type="dxa" w:w="158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13.0.0</w:t>
            </w:r>
          </w:p>
        </w:tc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Juice Shop e exemplo SCA</w:t>
            </w:r>
          </w:p>
        </w:tc>
        <w:tc>
          <w:tcPr>
            <w:tcW w:type="dxa" w:w="209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7 s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Checkov</w:t>
            </w:r>
          </w:p>
        </w:tc>
        <w:tc>
          <w:tcPr>
            <w:tcW w:type="dxa" w:w="158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3.3.11</w:t>
            </w:r>
          </w:p>
        </w:tc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26 recursos Terraform</w:t>
            </w:r>
          </w:p>
        </w:tc>
        <w:tc>
          <w:tcPr>
            <w:tcW w:type="dxa" w:w="20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cerca de 9 s</w:t>
            </w:r>
          </w:p>
        </w:tc>
      </w:tr>
      <w:tr>
        <w:tc>
          <w:tcPr>
            <w:tcW w:type="dxa" w:w="198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OWASP ZAP</w:t>
            </w:r>
          </w:p>
        </w:tc>
        <w:tc>
          <w:tcPr>
            <w:tcW w:type="dxa" w:w="158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2.17.0</w:t>
            </w:r>
          </w:p>
        </w:tc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Juice Shop local</w:t>
            </w:r>
          </w:p>
        </w:tc>
        <w:tc>
          <w:tcPr>
            <w:tcW w:type="dxa" w:w="209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active scan 3 min 48 s</w:t>
            </w:r>
          </w:p>
        </w:tc>
      </w:tr>
    </w:tbl>
    <w:p>
      <w:pPr>
        <w:spacing w:after="40"/>
        <w:ind w:firstLine="0"/>
      </w:pPr>
    </w:p>
    <w:p>
      <w:pPr>
        <w:spacing w:after="120"/>
        <w:ind w:firstLine="0"/>
      </w:pPr>
      <w:r>
        <w:rPr>
          <w:rFonts w:ascii="Arial" w:hAnsi="Arial" w:eastAsia="Arial"/>
          <w:color w:val="000000"/>
          <w:sz w:val="22"/>
        </w:rPr>
        <w:t>Os tempos são medições do ambiente do grupo e não benchmarks universais. Cache de imagens, desempenho do host, quantidade de arquivos e atualização de bases alteram o resultado.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SAST</w:t>
      </w:r>
    </w:p>
    <w:p>
      <w:pPr>
        <w:pStyle w:val="Heading1"/>
        <w:ind w:firstLine="0"/>
        <w:keepNext/>
        <w:keepLines/>
      </w:pPr>
      <w:r>
        <w:t>4 Semgrep</w:t>
      </w:r>
    </w:p>
    <w:p>
      <w:pPr>
        <w:pStyle w:val="Heading2"/>
        <w:ind w:firstLine="0"/>
        <w:keepNext/>
        <w:keepLines/>
      </w:pPr>
      <w:r>
        <w:t>Identificação e atividade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835"/>
        <w:gridCol w:w="6236"/>
      </w:tblGrid>
      <w:tr>
        <w:trPr>
          <w:tblHeader w:val="true"/>
        </w:trPr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6236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Mantenedor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Inc. e comunidade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Licença do motor open source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LGPL 2.1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Início público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2017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Linguagens de implementação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OCaml no motor e Python na CLI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Comunidade em 15 set. 2026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aprox. 16,7 mil estrelas, 1,1 mil forks e 10.297 commits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Release atual na consulta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v1.177.0, publicada em 10 set. 2026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Versão do laboratório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v1.172.0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repositório oficial descreve Semgrep Community Edition como um mecanismo open source de análise estática e informa suporte a mais de 30 linguagens [5]. A sucessão de releases entre julho e setembro de 2026 indica manutenção frequente [7]. A edição comunitária cobre análise local; recursos proprietários acrescentam análise entre arquivos, regras comerciais e triagem hospedada.</w:t>
      </w:r>
    </w:p>
    <w:p>
      <w:pPr>
        <w:pStyle w:val="Heading2"/>
        <w:ind w:firstLine="0"/>
        <w:keepNext/>
        <w:keepLines/>
      </w:pPr>
      <w:r>
        <w:t>Fundamento técnico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Semgrep transforma o código em uma representação sintática e compara essa estrutura com padrões semelhantes à própria linguagem. Isso evita depender apenas de texto ou expressão regular. As regras podem usar pattern matching, metavariáveis e, em modos compatíveis, análise de taint para representar origem, propagação, sanitização e destino de dados.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ferramenta detecta APIs perigosas, injeções, configurações inseguras, uso incorreto de bibliotecas e padrões específicos da equipe quando existe uma regra aplicável. A Community Edition não entende toda a semântica de execução e possui limites em fluxos entre funções e arquivos. Reflexão, geração dinâmica de código e regras ausentes podem produzir falsos negativos. Um match sintático também pode ser irrelevante quando aparece em teste, exemplo ou código inalcançável.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SEMGREP NA PRÁTICA</w:t>
      </w:r>
    </w:p>
    <w:p>
      <w:pPr>
        <w:pStyle w:val="Heading2"/>
        <w:ind w:firstLine="0"/>
        <w:keepNext/>
        <w:keepLines/>
      </w:pPr>
      <w:r>
        <w:t>Instalação configuração e integração</w:t>
      </w:r>
    </w:p>
    <w:p>
      <w:pPr>
        <w:pStyle w:val="Heading3"/>
        <w:ind w:firstLine="0"/>
        <w:keepNext/>
        <w:keepLines/>
      </w:pPr>
      <w:r>
        <w:t>Instalação e formatos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Semgrep pode ser instalado por pip, pipx, Homebrew e imagem Docker. O laboratório usou Docker para evitar dependências locais e fixar a versão. As saídas mais úteis para automação são JSON e SARIF; o terminal serve à execução guiada. O SARIF pode ser enviado ao GitHub Code Scanning, enquanto o JSON permite aplicar uma política própria.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docker run --rm -v "${ProjectDir}\target\juice-shop:/src/target/juice-shop" `</w:t>
        <w:br/>
        <w:t xml:space="preserve">  -v "${ProjectDir}\reports:/src/reports" semgrep/semgrep:1.172.0 `</w:t>
        <w:br/>
        <w:t xml:space="preserve">  semgrep scan --config auto --json `</w:t>
        <w:br/>
        <w:t xml:space="preserve">  --output /src/reports/semgrep-auto.json /src/target/juice-shop</w:t>
      </w:r>
    </w:p>
    <w:p>
      <w:pPr>
        <w:pStyle w:val="Heading3"/>
        <w:ind w:firstLine="0"/>
        <w:keepNext/>
        <w:keepLines/>
      </w:pPr>
      <w:r>
        <w:t>Uso geral sem regra própria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opção --config auto selecionou regras comunitárias compatíveis com as linguagens detectadas. Portanto, o scan geral não dependeu de uma regra criada pelo grupo. Essa é a forma mais próxima de um uso geral: ela oferece amplitude, mas também inclui achados de manutenção, exemplos, workflows e infraestrutura que exigem triagem.</w:t>
      </w:r>
    </w:p>
    <w:p>
      <w:pPr>
        <w:pStyle w:val="Heading3"/>
        <w:ind w:firstLine="0"/>
        <w:keepNext/>
        <w:keepLines/>
      </w:pPr>
      <w:r>
        <w:t>Mesmo conjunto geral no red e green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laboratório não possui arquivo de regra Semgrep criado pelo grupo. Tanto o código vulnerável quanto a cópia corrigida são analisados com --config auto. A demonstração limita somente o caminho a um arquivo para isolar o efeito da correção; o quality gate converte a severidade ERROR do Semgrep em HIGH. Em produção, o scan completo continua necessário, acompanhado de triagem, baseline e revisão de cobertura.</w:t>
      </w:r>
    </w:p>
    <w:p>
      <w:pPr>
        <w:pStyle w:val="Heading3"/>
        <w:ind w:firstLine="0"/>
        <w:keepNext/>
        <w:keepLines/>
      </w:pPr>
      <w:r>
        <w:t>Baselines supressão IDE e pre commit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Semgrep permite ignorar trechos com nosemgrep, excluir caminhos, comparar com um commit de baseline e executar somente achados novos em CI. Supressões devem registrar justificativa e prazo; esconder um diretório inteiro reduz cobertura. Extensões de IDE e hooks de pre-commit oferecem feedback antes do push. Para repositórios grandes, recomenda-se um conjunto rápido no pre-commit e uma política mais ampla no CI [6].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SEMGREP SEM REGRA PERSONALIZADA</w:t>
      </w:r>
    </w:p>
    <w:p>
      <w:pPr>
        <w:pStyle w:val="Heading2"/>
        <w:ind w:firstLine="0"/>
        <w:keepNext/>
        <w:keepLines/>
      </w:pPr>
      <w:r>
        <w:t>Execução geral e evidência de terminal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scan geral considerou 1.074 regras comunitárias e executou 408 delas sobre 1.027 arquivos. Foram produzidos 69 achados: 18 ERROR, 46 WARNING, 2 MEDIUM e 3 INFO. O relatório também registrou 53 erros ou avisos de análise, em grande parte associados a snippets deliberadamente incompletos da aplicação de treinamento. A taxa de linhas analisadas foi próxima de 99,9%.</w:t>
      </w:r>
    </w:p>
    <w:p>
      <w:pPr>
        <w:spacing w:before="80" w:after="0"/>
        <w:ind w:firstLine="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220000" cy="4322812"/>
            <wp:docPr id="1" name="Picture 1" descr="Terminal do PowerShell mostrando o scan geral do Semgrep concluído com 69 achados, 408 regras e 1.027 alvos" title="Figura 1 Execução real do Semgrep com configuração aut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semgrep-term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2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/>
          <w:b/>
          <w:color w:val="000000"/>
          <w:sz w:val="18"/>
        </w:rPr>
        <w:t>Figura 1 Execução real do Semgrep com configuração auto.</w:t>
      </w:r>
      <w:r>
        <w:br/>
      </w:r>
      <w:r>
        <w:rPr>
          <w:rFonts w:ascii="Arial" w:hAnsi="Arial" w:eastAsia="Arial"/>
          <w:color w:val="66737D"/>
          <w:sz w:val="18"/>
        </w:rPr>
        <w:t>Fonte: captura de terminal do Grupo 4, 2026.</w:t>
      </w:r>
    </w:p>
    <w:p>
      <w:pPr>
        <w:spacing w:after="120"/>
        <w:ind w:firstLine="0"/>
      </w:pPr>
      <w:r>
        <w:rPr>
          <w:rFonts w:ascii="Arial" w:hAnsi="Arial" w:eastAsia="Arial"/>
          <w:color w:val="000000"/>
          <w:sz w:val="22"/>
        </w:rPr>
        <w:t>A mensagem NativeCommandError no início da captura foi produzida pelo PowerShell 5.1 ao converter a saída stderr do processo Docker em um registro de erro durante o redirecionamento 2&gt;&amp;1. Ela não representa falha do scanner: a mesma captura mostra Scan completed successfully e o JSON foi gravado. Para uma apresentação mais limpa, o comando pode ser executado sem o redirecionamento combinado.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SEMGREP NO QUALITY GATE</w:t>
      </w:r>
    </w:p>
    <w:p>
      <w:pPr>
        <w:pStyle w:val="Heading2"/>
        <w:ind w:firstLine="0"/>
        <w:keepNext/>
        <w:keepLines/>
      </w:pPr>
      <w:r>
        <w:t>Resultados red e green correção e avaliação crítica</w:t>
      </w:r>
    </w:p>
    <w:p>
      <w:pPr>
        <w:pStyle w:val="Heading3"/>
        <w:ind w:firstLine="0"/>
        <w:keepNext/>
        <w:keepLines/>
      </w:pPr>
      <w:r>
        <w:t>Resultado determinístico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14"/>
        <w:gridCol w:w="1247"/>
        <w:gridCol w:w="1587"/>
        <w:gridCol w:w="1361"/>
        <w:gridCol w:w="3061"/>
      </w:tblGrid>
      <w:tr>
        <w:trPr>
          <w:tblHeader w:val="true"/>
        </w:trPr>
        <w:tc>
          <w:tcPr>
            <w:tcW w:type="dxa" w:w="181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124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Arquivos</w:t>
            </w:r>
          </w:p>
        </w:tc>
        <w:tc>
          <w:tcPr>
            <w:tcW w:type="dxa" w:w="158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Configuração</w:t>
            </w:r>
          </w:p>
        </w:tc>
        <w:tc>
          <w:tcPr>
            <w:tcW w:type="dxa" w:w="136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Achados</w:t>
            </w:r>
          </w:p>
        </w:tc>
        <w:tc>
          <w:tcPr>
            <w:tcW w:type="dxa" w:w="306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Decisão</w:t>
            </w:r>
          </w:p>
        </w:tc>
      </w:tr>
      <w:tr>
        <w:tc>
          <w:tcPr>
            <w:tcW w:type="dxa" w:w="181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Red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8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auto</w:t>
            </w:r>
          </w:p>
        </w:tc>
        <w:tc>
          <w:tcPr>
            <w:tcW w:type="dxa" w:w="136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 HIGH</w:t>
            </w:r>
          </w:p>
        </w:tc>
        <w:tc>
          <w:tcPr>
            <w:tcW w:type="dxa" w:w="306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Gate bloqueado</w:t>
            </w:r>
          </w:p>
        </w:tc>
      </w:tr>
      <w:tr>
        <w:tc>
          <w:tcPr>
            <w:tcW w:type="dxa" w:w="181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Green</w:t>
            </w:r>
          </w:p>
        </w:tc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8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auto</w:t>
            </w:r>
          </w:p>
        </w:tc>
        <w:tc>
          <w:tcPr>
            <w:tcW w:type="dxa" w:w="136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306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Gate aprovado</w:t>
            </w:r>
          </w:p>
        </w:tc>
      </w:tr>
    </w:tbl>
    <w:p>
      <w:pPr>
        <w:spacing w:after="40"/>
        <w:ind w:firstLine="0"/>
      </w:pPr>
    </w:p>
    <w:p>
      <w:pPr>
        <w:pStyle w:val="Heading3"/>
        <w:ind w:firstLine="0"/>
        <w:keepNext/>
        <w:keepLines/>
      </w:pPr>
      <w:r>
        <w:t>Código vulnerável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models.sequelize.query(`SELECT * FROM Products WHERE</w:t>
        <w:br/>
        <w:t xml:space="preserve">  ((name LIKE '%${criteria}%' OR description LIKE '%${criteria}%')</w:t>
        <w:br/>
        <w:t xml:space="preserve">  AND deletedAt IS NULL) ORDER BY name`)</w:t>
      </w:r>
    </w:p>
    <w:p>
      <w:pPr>
        <w:pStyle w:val="Heading3"/>
        <w:ind w:firstLine="0"/>
        <w:keepNext/>
        <w:keepLines/>
      </w:pPr>
      <w:r>
        <w:t>Correção aplicada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models.sequelize.query(`SELECT * FROM Products WHERE</w:t>
        <w:br/>
        <w:t xml:space="preserve">  ((name LIKE :criteria OR description LIKE :criteria)</w:t>
        <w:br/>
        <w:t xml:space="preserve">  AND deletedAt IS NULL) ORDER BY name`,</w:t>
        <w:br/>
        <w:t xml:space="preserve">  { replacements: { criteria: `%${criteria}%` } })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correção separa o valor fornecido pelo usuário da estrutura da consulta. O marcador :criteria é resolvido pelo driver com replacements, reduzindo a possibilidade de o conteúdo alterar a sintaxe SQL. A validação green prova que a regra comunitária deixou de encontrar o fluxo inseguro naquele arquivo; não prova que todo o Juice Shop está seguro.</w:t>
      </w:r>
    </w:p>
    <w:p>
      <w:pPr>
        <w:pStyle w:val="Heading3"/>
        <w:ind w:firstLine="0"/>
        <w:keepNext/>
        <w:keepLines/>
      </w:pPr>
      <w:r>
        <w:t>Falsos positivos e desempenho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As 69 ocorrências não foram integralmente classificadas, portanto não existe uma taxa geral confiável. No recorte da regra comunitária de injeção via Sequelize, seis matches foram encontrados: dois em rotas executáveis e quatro em data/static/codefixes, arquivos didáticos. Para o risco de produção, esses quatro são ruído operacional, o que corresponde a 66,7% no recorte. Ao analisar apenas a rota escolhida para o red/green, o resultado vulnerável foi um verdadeiro positivo e a versão parametrizada não gerou match. Os dois cenários executaram 210 regras comunitárias; o tempo interno foi 4,242 s no red e 3,542 s no green.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Ponto forte: criação rápida de regras e feedback próximo ao código. Limitação: a cobertura depende do conjunto de regras e do contexto disponível. Cenário ideal: revisão de pull request, IDE e gates de padrões que a equipe consegue testar. Alternativas incluem OpenGrep, CodeQL e SonarQube; o Semgrep foi escolhido pela execução local simples, regras legíveis e bom encaixe no laboratório.</w:t>
      </w:r>
    </w:p>
    <w:p>
      <w:r>
        <w:br w:type="page"/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SCA</w:t>
      </w:r>
    </w:p>
    <w:p>
      <w:pPr>
        <w:pStyle w:val="Heading1"/>
        <w:ind w:firstLine="0"/>
        <w:keepNext/>
        <w:keepLines/>
      </w:pPr>
      <w:r>
        <w:t>5 OWASP Dependency Check</w:t>
      </w:r>
    </w:p>
    <w:p>
      <w:pPr>
        <w:pStyle w:val="Heading2"/>
        <w:ind w:firstLine="0"/>
        <w:keepNext/>
        <w:keepLines/>
      </w:pPr>
      <w:r>
        <w:t>Identificação e atividade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835"/>
        <w:gridCol w:w="6236"/>
      </w:tblGrid>
      <w:tr>
        <w:trPr>
          <w:tblHeader w:val="true"/>
        </w:trPr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6236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Mantenedor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OWASP Dependency-Check, Jeremy Long e comunidade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Licença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Apache 2.0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Ano de criação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2012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Linguagem principal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Java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Comunidade em 15 set. 2026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aprox. 7,7 mil estrelas, 1,4 mil forks e 11.258 commits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Release atual e executada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v13.0.0, publicada em 3 ago. 2026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Dependency-Check é um utilitário de Software Composition Analysis que tenta identificar componentes e associá-los a CPEs para consultar vulnerabilidades publicadas [8]. A versão 13.0.0 estava atual na data do laboratório [10]. O projeto mantém CLI e integrações com Maven, Gradle, Ant e Jenkins.</w:t>
      </w:r>
    </w:p>
    <w:p>
      <w:pPr>
        <w:pStyle w:val="Heading2"/>
        <w:ind w:firstLine="0"/>
        <w:keepNext/>
        <w:keepLines/>
      </w:pPr>
      <w:r>
        <w:t>Fundamento técnico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ferramenta usa analisadores por tipo de arquivo e ecossistema para coletar evidências de nome, fornecedor e versão. Em seguida, tenta resolver identificadores de plataforma e consulta dados de vulnerabilidade, principalmente do NVD. A correspondência não é uma prova automática de explorabilidade. Nomes genéricos, componentes empacotados e metadados incompletos podem produzir CPEs errados ou deixar de identificar a versão real.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Dependency-Check detecta CVEs conhecidos quando consegue identificar o componente. Ele não encontra uma falha inédita no código próprio, não verifica configuração de nuvem e não ataca a aplicação. Também não substitui análise de alcance: uma biblioteca pode estar presente sem que a função vulnerável seja chamada. O sentido inverso também ocorre, pois um inventário incompleto gera falso negativo.</w:t>
      </w:r>
    </w:p>
    <w:p>
      <w:pPr>
        <w:pStyle w:val="Heading2"/>
        <w:ind w:firstLine="0"/>
        <w:keepNext/>
        <w:keepLines/>
      </w:pPr>
      <w:r>
        <w:t>Bases e atualização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documentação recomenda chave de API do NVD e cache para CI, pois downloads completos e limites de requisição podem aumentar o tempo [8]. O laboratório usou uma imagem já disponível e --noupdate para evitar dependência de rede. Essa decisão tornou a execução rápida, mas vinculou o resultado à base existente na imagem. Em produção, a base precisa de atualização controlada e monitorada.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DEPENDENCY CHECK NA PRÁTICA</w:t>
      </w:r>
    </w:p>
    <w:p>
      <w:pPr>
        <w:pStyle w:val="Heading2"/>
        <w:ind w:firstLine="0"/>
        <w:keepNext/>
        <w:keepLines/>
      </w:pPr>
      <w:r>
        <w:t>Instalação uso integração e tratamento de exceções</w:t>
      </w:r>
    </w:p>
    <w:p>
      <w:pPr>
        <w:pStyle w:val="Heading3"/>
        <w:ind w:firstLine="0"/>
        <w:keepNext/>
        <w:keepLines/>
      </w:pPr>
      <w:r>
        <w:t>Formas de execução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ferramenta pode ser executada por CLI, Docker, Homebrew, Maven, Gradle, Ant e Jenkins. Os formatos incluem HTML, JSON, XML, CSV, JUnit, SARIF, GitLab e Jenkins. O parâmetro failOnCVSS ou seu equivalente no plugin permite falhar o build por pontuação, mas deve ser combinado com supressões revisadas e cobertura comprovada.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dependency-check --scan /src --out /report --format ALL `</w:t>
        <w:br/>
        <w:t xml:space="preserve">  --project "Checkpoint DevSecOps Grupo 4" `</w:t>
        <w:br/>
        <w:t xml:space="preserve">  --noupdate --disableOssIndex --enableExperimental</w:t>
      </w:r>
    </w:p>
    <w:p>
      <w:pPr>
        <w:pStyle w:val="Heading3"/>
        <w:ind w:firstLine="0"/>
        <w:keepNext/>
        <w:keepLines/>
      </w:pPr>
      <w:r>
        <w:t>Supressões e baselines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Falsos positivos podem ser tratados com um arquivo XML de suppression que registra CVE, CPE, pacote ou hash. Uma supressão útil inclui motivo e data de expiração. A equipe também pode comparar resultados com um baseline aprovado e bloquear apenas novas vulnerabilidades acima do limiar. Suprimir porque o build precisa passar, sem documentar alcance ou mitigação, remove o controle.</w:t>
      </w:r>
    </w:p>
    <w:p>
      <w:pPr>
        <w:pStyle w:val="Heading3"/>
        <w:ind w:firstLine="0"/>
        <w:keepNext/>
        <w:keepLines/>
      </w:pPr>
      <w:r>
        <w:t>Integração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Maven e Gradle permitem executar a análise no ciclo de build; Jenkins possui plugin; a CLI funciona em GitHub Actions, GitLab CI e outros runners. O SARIF pode alimentar Code Scanning e plataformas que aceitam o padrão. O DefectDojo possui importadores para relatórios de Dependency-Check. A ferramenta não tem o mesmo encaixe de um linter em IDE ou pre-commit: a atualização de bases e a resolução de dependências tornam o CI ou um job agendado mais apropriado.</w:t>
      </w:r>
    </w:p>
    <w:p>
      <w:pPr>
        <w:pStyle w:val="Heading3"/>
        <w:ind w:firstLine="0"/>
        <w:keepNext/>
        <w:keepLines/>
      </w:pPr>
      <w:r>
        <w:t>Dependência do inventário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Para Node.js, o lockfile e o diretório de dependências ajudam a determinar versões efetivas. O enunciado pede interpretação crítica, portanto um relatório vazio precisa ser confrontado com os avisos de cobertura. Esse ponto foi decisivo na execução do grupo.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DEPENDENCY CHECK EXECUTADO</w:t>
      </w:r>
    </w:p>
    <w:p>
      <w:pPr>
        <w:pStyle w:val="Heading2"/>
        <w:ind w:firstLine="0"/>
        <w:keepNext/>
        <w:keepLines/>
      </w:pPr>
      <w:r>
        <w:t>Resultado observado e interpretação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versão 13.0.0 analisou 15 dependências em sete segundos e reportou zero vulnerabilidades. Quatro exceções apareceram ao abrir arquivos propositalmente malformados ou ofensivos usados pelos testes do Juice Shop: dois ZIPs com tentativa de path traversal, um ZIP criptografado e um executável truncado. Esses erros não são CVEs do projeto; são limitações do processamento desses arquivos.</w:t>
      </w:r>
    </w:p>
    <w:p>
      <w:pPr>
        <w:spacing w:before="80" w:after="0"/>
        <w:ind w:firstLine="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220000" cy="3915000"/>
            <wp:docPr id="2" name="Picture 2" descr="Relatório HTML do Dependency-Check mostrando 15 dependências, zero vulnerabilidades e quatro exceções de análise" title="Figura 2 Relatório HTML real do OWASP Dependency Chec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dependency-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/>
          <w:b/>
          <w:color w:val="000000"/>
          <w:sz w:val="18"/>
        </w:rPr>
        <w:t>Figura 2 Relatório HTML real do OWASP Dependency Check.</w:t>
      </w:r>
      <w:r>
        <w:br/>
      </w:r>
      <w:r>
        <w:rPr>
          <w:rFonts w:ascii="Arial" w:hAnsi="Arial" w:eastAsia="Arial"/>
          <w:color w:val="66737D"/>
          <w:sz w:val="18"/>
        </w:rPr>
        <w:t>Fonte: relatório gerado pelo Grupo 4, 2026.</w:t>
      </w:r>
    </w:p>
    <w:p>
      <w:pPr>
        <w:pStyle w:val="Heading3"/>
        <w:ind w:firstLine="0"/>
        <w:keepNext/>
        <w:keepLines/>
      </w:pPr>
      <w:r>
        <w:t>Por que o resultado é inconclusivo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log informou que package-lock.json não estava presente e que node_modules não existia em dois projetos Node. A própria ferramenta alertou que essa condição pode produzir falsos negativos. Além disso, o modo --noupdate utilizou uma base previamente armazenada e o OSS Index foi desabilitado. Assim, zero CVEs significa apenas que nenhuma correspondência foi encontrada na cobertura disponível.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68"/>
        <w:gridCol w:w="1757"/>
        <w:gridCol w:w="5046"/>
      </w:tblGrid>
      <w:tr>
        <w:trPr>
          <w:tblHeader w:val="true"/>
        </w:trPr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175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5046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Leitura correta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Dependências identificadas</w:t>
            </w:r>
          </w:p>
        </w:tc>
        <w:tc>
          <w:tcPr>
            <w:tcW w:type="dxa" w:w="175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504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Inventário parcial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Vulnerabilidades</w:t>
            </w:r>
          </w:p>
        </w:tc>
        <w:tc>
          <w:tcPr>
            <w:tcW w:type="dxa" w:w="175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04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Não autoriza concluir que o projeto está seguro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Exceções</w:t>
            </w:r>
          </w:p>
        </w:tc>
        <w:tc>
          <w:tcPr>
            <w:tcW w:type="dxa" w:w="175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504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Arquivos de teste não analisados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Tempo</w:t>
            </w:r>
          </w:p>
        </w:tc>
        <w:tc>
          <w:tcPr>
            <w:tcW w:type="dxa" w:w="175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7 s</w:t>
            </w:r>
          </w:p>
        </w:tc>
        <w:tc>
          <w:tcPr>
            <w:tcW w:type="dxa" w:w="504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Rápido porque não atualizou as bases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Taxa de falso positivo</w:t>
            </w:r>
          </w:p>
        </w:tc>
        <w:tc>
          <w:tcPr>
            <w:tcW w:type="dxa" w:w="175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não calculável</w:t>
            </w:r>
          </w:p>
        </w:tc>
        <w:tc>
          <w:tcPr>
            <w:tcW w:type="dxa" w:w="504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Não houve achado de vulnerabilidade para classificar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Ponto forte: integração madura com builds Java e relatórios amplos. Limitação observada: forte dependência de inventário e bases. Cenário ideal: projeto com lockfiles, dependências resolvidas, cache atualizado e chave NVD. Alternativas incluem Trivy, Grype, OSV-Scanner e ferramentas nativas do ecossistema. O Dependency-Check permanece útil como uma fonte, mas o resultado deve ser combinado com SBOM e outro mecanismo de SCA quando a cobertura do ecossistema for limitada.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IAC SECURITY</w:t>
      </w:r>
    </w:p>
    <w:p>
      <w:pPr>
        <w:pStyle w:val="Heading1"/>
        <w:ind w:firstLine="0"/>
        <w:keepNext/>
        <w:keepLines/>
      </w:pPr>
      <w:r>
        <w:t>6 Checkov</w:t>
      </w:r>
    </w:p>
    <w:p>
      <w:pPr>
        <w:pStyle w:val="Heading2"/>
        <w:ind w:firstLine="0"/>
        <w:keepNext/>
        <w:keepLines/>
      </w:pPr>
      <w:r>
        <w:t>Identificação e atividade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835"/>
        <w:gridCol w:w="6236"/>
      </w:tblGrid>
      <w:tr>
        <w:trPr>
          <w:tblHeader w:val="true"/>
        </w:trPr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6236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Mantenedor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Prisma Cloud da Palo Alto Networks e comunidade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Licença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Apache 2.0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Ano de criação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2019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Linguagem principal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Python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Comunidade em 15 set. 2026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aprox. 9,0 mil estrelas, 1,4 mil forks e 17.433 commits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Release atual na consulta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v3.3.17, publicada em 10 set. 2026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Versão do laboratório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v3.3.11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Checkov é um analisador estático de infraestrutura como código mantido pela Prisma Cloud. O projeto informa mais de mil políticas embutidas e suporte a Terraform, planos Terraform, CloudFormation, Kubernetes, Helm, Kustomize, Dockerfile, Bicep, OpenTofu e arquivos de pipelines [11]. A frequência de releases e o volume de commits mostram atividade contínua; a versão 3.3.17 foi publicada cinco dias antes da consulta [13].</w:t>
      </w:r>
    </w:p>
    <w:p>
      <w:pPr>
        <w:pStyle w:val="Heading2"/>
        <w:ind w:firstLine="0"/>
        <w:keepNext/>
        <w:keepLines/>
      </w:pPr>
      <w:r>
        <w:t>Fundamento técnico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ferramenta interpreta os arquivos declarativos, cria uma representação dos recursos e aplica políticas Python ou YAML. Algumas verificações examinam atributos locais; outras usam um grafo para avaliar relações, como uma sub-rede ligada a um recurso público. O resultado indica check, recurso, arquivo, linhas, orientação e documentação.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Checkov detecta configurações incompatíveis com boas práticas ou normas codificadas: portas abertas, criptografia ausente, logs desabilitados, containers privilegiados e pipelines permissivas. Ele não prova que o recurso foi implantado, não vê alterações manuais posteriores e pode desconhecer controles externos aplicados pela organização. Variáveis não resolvidas e módulos remotos também afetam precisão.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CHECKOV NA PRÁTICA</w:t>
      </w:r>
    </w:p>
    <w:p>
      <w:pPr>
        <w:pStyle w:val="Heading2"/>
        <w:ind w:firstLine="0"/>
        <w:keepNext/>
        <w:keepLines/>
      </w:pPr>
      <w:r>
        <w:t>Instalação políticas integração e supressões</w:t>
      </w:r>
    </w:p>
    <w:p>
      <w:pPr>
        <w:pStyle w:val="Heading3"/>
        <w:ind w:firstLine="0"/>
        <w:keepNext/>
        <w:keepLines/>
      </w:pPr>
      <w:r>
        <w:t>Instalação e formatos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Checkov pode ser instalado por pip, pipx, Homebrew, Docker e action de CI. O laboratório usou a imagem ghcr.io/bridgecrewio/checkov:3.3.11. A ferramenta gera CLI, JSON, JUnit XML, CSV, SARIF, CycloneDX e Markdown para GitHub, conforme o tipo de scan [11].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docker run --rm `</w:t>
        <w:br/>
        <w:t xml:space="preserve">  -v "${ProjectDir}\target\juice-shop\terraform:/tf:ro" `</w:t>
        <w:br/>
        <w:t xml:space="preserve">  ghcr.io/bridgecrewio/checkov:3.3.11 -d /tf `</w:t>
        <w:br/>
        <w:t xml:space="preserve">  --framework terraform --quiet --compact --soft-fail</w:t>
      </w:r>
    </w:p>
    <w:p>
      <w:pPr>
        <w:pStyle w:val="Heading3"/>
        <w:ind w:firstLine="0"/>
        <w:keepNext/>
        <w:keepLines/>
      </w:pPr>
      <w:r>
        <w:t>Políticas gerais sem regra própria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execução utilizou somente políticas nativas. Nenhuma regra do grupo foi necessária para encontrar problemas. O argumento --framework terraform limitou a tecnologia e --compact reduziu o volume. --soft-fail fez o processo devolver sucesso para que a saída pudesse ser fotografada e analisada; ele não transformou as 24 falhas em aprovações.</w:t>
      </w:r>
    </w:p>
    <w:p>
      <w:pPr>
        <w:pStyle w:val="Heading3"/>
        <w:ind w:firstLine="0"/>
        <w:keepNext/>
        <w:keepLines/>
      </w:pPr>
      <w:r>
        <w:t>Regras próprias e exceções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Políticas personalizadas podem ser escritas em Python ou YAML e carregadas por diretório. Uma regra pode representar um requisito interno que não existe no catálogo. O comentário checkov:skip permite suprimir um check em um recurso, e --skip-check exclui IDs. A justificativa deve acompanhar a exceção. A configuração .checkov.yml centraliza frameworks, formatos, diretórios e política de falha.</w:t>
      </w:r>
    </w:p>
    <w:p>
      <w:pPr>
        <w:pStyle w:val="Heading3"/>
        <w:ind w:firstLine="0"/>
        <w:keepNext/>
        <w:keepLines/>
      </w:pPr>
      <w:r>
        <w:t>CI IDE e pre commit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Checkov possui exemplos de GitHub Actions, GitLab e outros sistemas, integração por SARIF com Code Scanning e suporte a pre-commit. A extensão da Prisma Cloud oferece feedback em VS Code. O melhor ponto de execução é antes do merge e novamente sobre o plano final no estágio de deploy, pois variáveis podem mudar o recurso resultante. Resultados SARIF ou JSON podem ser enviados a plataformas de gestão como DefectDojo.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CHECKOV EXECUTADO</w:t>
      </w:r>
    </w:p>
    <w:p>
      <w:pPr>
        <w:pStyle w:val="Heading2"/>
        <w:ind w:firstLine="0"/>
        <w:keepNext/>
        <w:keepLines/>
      </w:pPr>
      <w:r>
        <w:t>Resultado do Terraform oficial do Juice Shop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scan analisou 26 recursos Terraform e aplicou 66 verificações: 42 passaram, 24 falharam e nenhuma foi ignorada. Não houve erro de parsing. A captura abaixo mostra a execução real e os primeiros controles reprovados.</w:t>
      </w:r>
    </w:p>
    <w:p>
      <w:pPr>
        <w:spacing w:before="80" w:after="0"/>
        <w:ind w:firstLine="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688000" cy="2163385"/>
            <wp:docPr id="3" name="Picture 3" descr="Terminal do PowerShell mostrando Checkov com 42 verificações aprovadas, 24 reprovadas e zero ignoradas" title="Figura 3 Execução real do Checkov no Terrafo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checkov-term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163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/>
          <w:b/>
          <w:color w:val="000000"/>
          <w:sz w:val="18"/>
        </w:rPr>
        <w:t>Figura 3 Execução real do Checkov no Terraform.</w:t>
      </w:r>
      <w:r>
        <w:br/>
      </w:r>
      <w:r>
        <w:rPr>
          <w:rFonts w:ascii="Arial" w:hAnsi="Arial" w:eastAsia="Arial"/>
          <w:color w:val="66737D"/>
          <w:sz w:val="18"/>
        </w:rPr>
        <w:t>Fonte: captura de terminal do Grupo 4, 2026.</w:t>
      </w:r>
    </w:p>
    <w:p>
      <w:r>
        <w:br w:type="page"/>
      </w:r>
    </w:p>
    <w:p>
      <w:pPr>
        <w:pStyle w:val="Heading3"/>
        <w:ind w:firstLine="0"/>
        <w:keepNext/>
        <w:keepLines/>
      </w:pPr>
      <w:r>
        <w:t>Falhas priorizadas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531"/>
        <w:gridCol w:w="2154"/>
        <w:gridCol w:w="2835"/>
        <w:gridCol w:w="2551"/>
      </w:tblGrid>
      <w:tr>
        <w:trPr>
          <w:tblHeader w:val="true"/>
        </w:trPr>
        <w:tc>
          <w:tcPr>
            <w:tcW w:type="dxa" w:w="153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Check</w:t>
            </w:r>
          </w:p>
        </w:tc>
        <w:tc>
          <w:tcPr>
            <w:tcW w:type="dxa" w:w="215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Recurso</w:t>
            </w:r>
          </w:p>
        </w:tc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Condição observada</w:t>
            </w:r>
          </w:p>
        </w:tc>
        <w:tc>
          <w:tcPr>
            <w:tcW w:type="dxa" w:w="255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Tratamento</w:t>
            </w:r>
          </w:p>
        </w:tc>
      </w:tr>
      <w:tr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CKV_AWS_333</w:t>
            </w:r>
          </w:p>
        </w:tc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ECS service</w:t>
            </w:r>
          </w:p>
        </w:tc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IP público atribuído</w:t>
            </w:r>
          </w:p>
        </w:tc>
        <w:tc>
          <w:tcPr>
            <w:tcW w:type="dxa" w:w="255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Executar em sub-rede privada</w:t>
            </w:r>
          </w:p>
        </w:tc>
      </w:tr>
      <w:tr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CKV_AWS_260</w:t>
            </w:r>
          </w:p>
        </w:tc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Security group ALB</w:t>
            </w:r>
          </w:p>
        </w:tc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Porta 80 aberta para 0.0.0.0/0</w:t>
            </w:r>
          </w:p>
        </w:tc>
        <w:tc>
          <w:tcPr>
            <w:tcW w:type="dxa" w:w="255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Restringir ou redirecionar</w:t>
            </w:r>
          </w:p>
        </w:tc>
      </w:tr>
      <w:tr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CKV_AWS_2</w:t>
            </w:r>
          </w:p>
        </w:tc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ALB listener</w:t>
            </w:r>
          </w:p>
        </w:tc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Protocolo HTTP</w:t>
            </w:r>
          </w:p>
        </w:tc>
        <w:tc>
          <w:tcPr>
            <w:tcW w:type="dxa" w:w="255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Configurar HTTPS e certificado</w:t>
            </w:r>
          </w:p>
        </w:tc>
      </w:tr>
      <w:tr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CKV_AWS_91</w:t>
            </w:r>
          </w:p>
        </w:tc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Application Load Balancer</w:t>
            </w:r>
          </w:p>
        </w:tc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Access logs ausentes</w:t>
            </w:r>
          </w:p>
        </w:tc>
        <w:tc>
          <w:tcPr>
            <w:tcW w:type="dxa" w:w="255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Habilitar logs em bucket protegido</w:t>
            </w:r>
          </w:p>
        </w:tc>
      </w:tr>
      <w:tr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CKV2_AWS_11</w:t>
            </w:r>
          </w:p>
        </w:tc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VPC</w:t>
            </w:r>
          </w:p>
        </w:tc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Flow logs ausentes</w:t>
            </w:r>
          </w:p>
        </w:tc>
        <w:tc>
          <w:tcPr>
            <w:tcW w:type="dxa" w:w="255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Habilitar VPC Flow Logs</w:t>
            </w:r>
          </w:p>
        </w:tc>
      </w:tr>
      <w:tr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CKV2_AWS_28</w:t>
            </w:r>
          </w:p>
        </w:tc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ALB público</w:t>
            </w:r>
          </w:p>
        </w:tc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WAF ausente</w:t>
            </w:r>
          </w:p>
        </w:tc>
        <w:tc>
          <w:tcPr>
            <w:tcW w:type="dxa" w:w="255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Associar Web ACL</w:t>
            </w:r>
          </w:p>
        </w:tc>
      </w:tr>
    </w:tbl>
    <w:p>
      <w:pPr>
        <w:spacing w:after="40"/>
        <w:ind w:firstLine="0"/>
      </w:pPr>
    </w:p>
    <w:p>
      <w:pPr>
        <w:pStyle w:val="Heading3"/>
        <w:ind w:firstLine="0"/>
        <w:keepNext/>
        <w:keepLines/>
      </w:pPr>
      <w:r>
        <w:t>Avaliação crítica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Os seis controles priorizados foram confirmados no Terraform e não foram classificados como falsos positivos na amostra. Os 18 restantes não passaram por validação manual completa, portanto não é correto declarar taxa zero para o conjunto inteiro. O tempo aproximado de nove segundos torna o Checkov adequado a pull requests. O ponto forte é a ampla biblioteca de políticas; a limitação é que uma recomendação genérica pode conflitar com arquitetura, compensações ou módulos externos. Alternativas incluem KICS, Terrascan, tfsec incorporado ao Trivy e Conftest/OPA.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DAST</w:t>
      </w:r>
    </w:p>
    <w:p>
      <w:pPr>
        <w:pStyle w:val="Heading1"/>
        <w:ind w:firstLine="0"/>
        <w:keepNext/>
        <w:keepLines/>
      </w:pPr>
      <w:r>
        <w:t>7 OWASP ZAP</w:t>
      </w:r>
    </w:p>
    <w:p>
      <w:pPr>
        <w:pStyle w:val="Heading2"/>
        <w:ind w:firstLine="0"/>
        <w:keepNext/>
        <w:keepLines/>
      </w:pPr>
      <w:r>
        <w:t>Identificação e atividade do projeto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835"/>
        <w:gridCol w:w="6236"/>
      </w:tblGrid>
      <w:tr>
        <w:trPr>
          <w:tblHeader w:val="true"/>
        </w:trPr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6236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Informação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Mantenedor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ZAP Core Team com apoio da Checkmarx e comunidade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Licença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Apache 2.0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Ano de criação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2010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Linguagem principal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Java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Comunidade em 15 set. 2026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aprox. 15,8 mil estrelas, 2,6 mil forks e 10.387 commits</w:t>
            </w:r>
          </w:p>
        </w:tc>
      </w:tr>
      <w:tr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Release estável atual e executada</w:t>
            </w:r>
          </w:p>
        </w:tc>
        <w:tc>
          <w:tcPr>
            <w:tcW w:type="dxa" w:w="6236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v2.17.0, publicada em 15 dez. 2025</w:t>
            </w:r>
          </w:p>
        </w:tc>
      </w:tr>
      <w:tr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Cadência adicional</w:t>
            </w:r>
          </w:p>
        </w:tc>
        <w:tc>
          <w:tcPr>
            <w:tcW w:type="dxa" w:w="6236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builds weekly e add-ons atualizados separadamente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ZAP é um proxy de interceptação e scanner de aplicações web mantido pelo ZAP Core Team [14]. Pode ser usado de forma interativa por analistas ou de modo headless em CI. A release 2.17.0 introduziu melhorias de desempenho e redução de alertas duplicados [17]. O ecossistema de add-ons atualiza spiders, regras e integrações sem depender somente de uma nova versão do core.</w:t>
      </w:r>
    </w:p>
    <w:p>
      <w:pPr>
        <w:pStyle w:val="Heading2"/>
        <w:ind w:firstLine="0"/>
        <w:keepNext/>
        <w:keepLines/>
      </w:pPr>
      <w:r>
        <w:t>Fundamento técnico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DAST observa HTTP e HTTPS sem ler o código-fonte. O spider tradicional segue links e formulários; o AJAX spider controla um navegador para aplicações modernas; o passive scanner analisa mensagens sem alterar requisições; o active scanner envia payloads e procura diferenças compatíveis com vulnerabilidades. O fuzzer permite variar entradas de forma controlada.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ZAP detecta cabeçalhos ausentes, exposição de informações, configurações de cookie, injeções e outras falhas alcançáveis pelas rotas descobertas. Ele não encontra código não exposto, depende de autenticação e navegação adequadas e pode interpretar uma resposta anormal como vulnerabilidade. Rate limits, dados destrutivos e estados de negócio exigem configuração cuidadosa.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ZAP NA PRÁTICA</w:t>
      </w:r>
    </w:p>
    <w:p>
      <w:pPr>
        <w:pStyle w:val="Heading2"/>
        <w:ind w:firstLine="0"/>
        <w:keepNext/>
        <w:keepLines/>
      </w:pPr>
      <w:r>
        <w:t>Automação regras integração e controle de escopo</w:t>
      </w:r>
    </w:p>
    <w:p>
      <w:pPr>
        <w:pStyle w:val="Heading3"/>
        <w:ind w:firstLine="0"/>
        <w:keepNext/>
        <w:keepLines/>
      </w:pPr>
      <w:r>
        <w:t>Formas de instalação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ZAP oferece instaladores, pacotes multiplataforma, Snap, Flatpak e imagens Docker. O laboratório usou ghcr.io/zaproxy/zaproxy:2.17.0. O Automation Framework lê um plano YAML com contexto, spiders, scanners, relatórios e exit status [15]. As saídas preservadas foram HTML, JSON e SARIF.</w:t>
      </w:r>
    </w:p>
    <w:p>
      <w:pPr>
        <w:pStyle w:val="Heading3"/>
        <w:ind w:firstLine="0"/>
        <w:keepNext/>
        <w:keepLines/>
      </w:pPr>
      <w:r>
        <w:t>Plano sem regra de detecção própria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arquivo security/zap-juice-shop.yaml não cria uma assinatura. Ele define URL, contexto, duração e seleciona duas regras ativas já fornecidas pelo ZAP: 40012 para XSS refletido e 40018 para SQL Injection. Portanto, a detecção é geral e nativa; o YAML apenas torna a execução previsível para o laboratório.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jobs:</w:t>
        <w:br/>
        <w:t xml:space="preserve">  - type: spider</w:t>
        <w:br/>
        <w:t xml:space="preserve">    parameters: { maxDuration: 1 }</w:t>
        <w:br/>
        <w:t xml:space="preserve">  - type: spiderAjax</w:t>
        <w:br/>
        <w:t xml:space="preserve">    parameters: { maxDuration: 2, maxCrawlDepth: 5 }</w:t>
        <w:br/>
        <w:t xml:space="preserve">  - type: activeScan</w:t>
        <w:br/>
        <w:t xml:space="preserve">    parameters: { maxScanDurationInMins: 4 }</w:t>
        <w:br/>
        <w:t xml:space="preserve">    policyDefinition:</w:t>
        <w:br/>
        <w:t xml:space="preserve">      rules: [ { id: 40012 }, { id: 40018 } ]</w:t>
      </w:r>
    </w:p>
    <w:p>
      <w:pPr>
        <w:pStyle w:val="Heading3"/>
        <w:ind w:firstLine="0"/>
        <w:keepNext/>
        <w:keepLines/>
      </w:pPr>
      <w:r>
        <w:t>Integração e supressões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ZAP pode rodar por baseline scan, full scan, API scan, Automation Framework e GitHub Action. SARIF integra os achados ao Code Scanning, e relatórios ZAP podem ser importados no DefectDojo. A ferramenta não é adequada a pre-commit, pois exige aplicação ativa. Em IDE, o uso é indireto por proxy e testes manuais. Falsos positivos podem ser tratados com alert filters no contexto; a exceção deve indicar URL, regra, evidência e validade.</w:t>
      </w:r>
    </w:p>
    <w:p>
      <w:pPr>
        <w:pStyle w:val="Heading3"/>
        <w:ind w:firstLine="0"/>
        <w:keepNext/>
        <w:keepLines/>
      </w:pPr>
      <w:r>
        <w:t>Segurança operacional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Active scan envia payloads potencialmente destrutivos. O alvo deve ser autorizado, isolado e descartável. Contas de teste e dados sintéticos evitam dano. O plano do grupo usa rede local, limite de tempo e apenas duas regras ativas para caber na apresentação.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OWASP ZAP EXECUTADO</w:t>
      </w:r>
    </w:p>
    <w:p>
      <w:pPr>
        <w:pStyle w:val="Heading2"/>
        <w:ind w:firstLine="0"/>
        <w:keepNext/>
        <w:keepLines/>
      </w:pPr>
      <w:r>
        <w:t>Resultados do scan dinâmico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spider tradicional encontrou 101 URLs em 18 segundos. O AJAX spider encontrou 234 URLs em 37 segundos. O active scan durou 3 minutos e 48 segundos. O relatório consolidou 11 tipos de alerta em 39 instâncias: 1 High, 4 Medium, 3 Low e 3 Informational. O gate encontrou um bloqueador e rejeitou o cenário.</w:t>
      </w:r>
    </w:p>
    <w:p>
      <w:pPr>
        <w:spacing w:before="80" w:after="0"/>
        <w:ind w:firstLine="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 descr="Relatório HTML do ZAP mostrando um alerta High, quatro Medium, três Low e três Informational" title="Figura 4 Resumo HTML real do OWASP Z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zap-resu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/>
          <w:b/>
          <w:color w:val="000000"/>
          <w:sz w:val="18"/>
        </w:rPr>
        <w:t>Figura 4 Resumo HTML real do OWASP ZAP.</w:t>
      </w:r>
      <w:r>
        <w:br/>
      </w:r>
      <w:r>
        <w:rPr>
          <w:rFonts w:ascii="Arial" w:hAnsi="Arial" w:eastAsia="Arial"/>
          <w:color w:val="66737D"/>
          <w:sz w:val="18"/>
        </w:rPr>
        <w:t>Fonte: relatório gerado pelo Grupo 4, 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247"/>
        <w:gridCol w:w="1247"/>
        <w:gridCol w:w="3798"/>
        <w:gridCol w:w="1304"/>
        <w:gridCol w:w="1474"/>
      </w:tblGrid>
      <w:tr>
        <w:trPr>
          <w:tblHeader w:val="true"/>
        </w:trPr>
        <w:tc>
          <w:tcPr>
            <w:tcW w:type="dxa" w:w="124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Risco</w:t>
            </w:r>
          </w:p>
        </w:tc>
        <w:tc>
          <w:tcPr>
            <w:tcW w:type="dxa" w:w="1247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Plugin</w:t>
            </w:r>
          </w:p>
        </w:tc>
        <w:tc>
          <w:tcPr>
            <w:tcW w:type="dxa" w:w="379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Alerta</w:t>
            </w:r>
          </w:p>
        </w:tc>
        <w:tc>
          <w:tcPr>
            <w:tcW w:type="dxa" w:w="130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Instâncias</w:t>
            </w:r>
          </w:p>
        </w:tc>
        <w:tc>
          <w:tcPr>
            <w:tcW w:type="dxa" w:w="147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Confiança</w:t>
            </w:r>
          </w:p>
        </w:tc>
      </w:tr>
      <w:tr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High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40018</w:t>
            </w:r>
          </w:p>
        </w:tc>
        <w:tc>
          <w:tcPr>
            <w:tcW w:type="dxa" w:w="37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SQL Injection</w:t>
            </w:r>
          </w:p>
        </w:tc>
        <w:tc>
          <w:tcPr>
            <w:tcW w:type="dxa" w:w="130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47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Low</w:t>
            </w:r>
          </w:p>
        </w:tc>
      </w:tr>
      <w:tr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Medium</w:t>
            </w:r>
          </w:p>
        </w:tc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10038</w:t>
            </w:r>
          </w:p>
        </w:tc>
        <w:tc>
          <w:tcPr>
            <w:tcW w:type="dxa" w:w="379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CSP Header Not Set</w:t>
            </w:r>
          </w:p>
        </w:tc>
        <w:tc>
          <w:tcPr>
            <w:tcW w:type="dxa" w:w="130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47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High</w:t>
            </w:r>
          </w:p>
        </w:tc>
      </w:tr>
      <w:tr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Medium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10098</w:t>
            </w:r>
          </w:p>
        </w:tc>
        <w:tc>
          <w:tcPr>
            <w:tcW w:type="dxa" w:w="37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Cross-Domain Misconfiguration</w:t>
            </w:r>
          </w:p>
        </w:tc>
        <w:tc>
          <w:tcPr>
            <w:tcW w:type="dxa" w:w="130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47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Medium</w:t>
            </w:r>
          </w:p>
        </w:tc>
        <w:tc>
          <w:tcPr>
            <w:tcW w:type="dxa" w:w="1247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10020</w:t>
            </w:r>
          </w:p>
        </w:tc>
        <w:tc>
          <w:tcPr>
            <w:tcW w:type="dxa" w:w="379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Missing Anti-clickjacking Header</w:t>
            </w:r>
          </w:p>
        </w:tc>
        <w:tc>
          <w:tcPr>
            <w:tcW w:type="dxa" w:w="130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47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Medium</w:t>
            </w:r>
          </w:p>
        </w:tc>
      </w:tr>
      <w:tr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Medium</w:t>
            </w:r>
          </w:p>
        </w:tc>
        <w:tc>
          <w:tcPr>
            <w:tcW w:type="dxa" w:w="1247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37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Session ID in URL Rewrite</w:t>
            </w:r>
          </w:p>
        </w:tc>
        <w:tc>
          <w:tcPr>
            <w:tcW w:type="dxa" w:w="130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47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High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confiança baixa do alerta SQL Injection impede tratá-lo isoladamente como prova. A correlação com o Semgrep mostra o mesmo parâmetro chegando a uma consulta interpolada e sustenta a classificação como verdadeiro positivo. Entre os três alertas revisados manualmente, nenhum foi descartado como falso positivo; os oito restantes não foram integralmente reproduzidos. O principal ponto forte do ZAP é observar o sistema montado. As limitações são tempo, cobertura de navegação, autenticação e ruído. Alternativas incluem Wapiti, Nuclei e Nikto, com escopos e técnicas diferentes.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VERDADEIROS E FALSOS POSITIVOS</w:t>
      </w:r>
    </w:p>
    <w:p>
      <w:pPr>
        <w:pStyle w:val="Heading1"/>
        <w:ind w:firstLine="0"/>
        <w:keepNext/>
        <w:keepLines/>
      </w:pPr>
      <w:r>
        <w:t>8 Análise dos achados</w:t>
      </w:r>
    </w:p>
    <w:p>
      <w:pPr>
        <w:pStyle w:val="Heading2"/>
        <w:ind w:firstLine="0"/>
        <w:keepNext/>
        <w:keepLines/>
      </w:pPr>
      <w:r>
        <w:t>Achado 1 SQL Injection na busca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68"/>
        <w:gridCol w:w="6803"/>
      </w:tblGrid>
      <w:tr>
        <w:trPr>
          <w:tblHeader w:val="true"/>
        </w:trPr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Análise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Evidência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em routes/search.ts:23 e ZAP plugin 40018 no parâmetro q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Classificação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Verdadeiro positivo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CWE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CWE-89 Improper Neutralization of Special Elements used in an SQL Command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Impacto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Alteração da lógica da consulta e possível acesso indevido a dados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Correção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Consulta parametrizada com :criteria e replacements; menor privilégio no banco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Validação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green sem achados no arquivo corrigido; novo DAST recomendado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código concatenava criteria dentro de um template SQL. O ZAP enviou um payload ao endpoint e observou resposta compatível com injeção, porém marcou confiança baixa. A evidência estática remove a principal ambiguidade do alerta dinâmico. A correção aplicada segue o princípio de separar dados e comando; escape manual ou blacklist de caracteres não oferecem a mesma garantia [4][19].</w:t>
      </w:r>
    </w:p>
    <w:p>
      <w:pPr>
        <w:pStyle w:val="Heading2"/>
        <w:ind w:firstLine="0"/>
        <w:keepNext/>
        <w:keepLines/>
      </w:pPr>
      <w:r>
        <w:t>Achado 2 listener HTTP no load balancer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68"/>
        <w:gridCol w:w="6803"/>
      </w:tblGrid>
      <w:tr>
        <w:trPr>
          <w:tblHeader w:val="true"/>
        </w:trPr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Análise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Evidência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Checkov CKV_AWS_2 em aws_lb_listener.http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Classificação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Verdadeiro positivo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CWE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CWE-319 Cleartext Transmission of Sensitive Information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Impacto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Tráfego e credenciais podem ser expostos ou alterados em trânsito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Correção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Listener HTTPS com certificado; redirecionamento permanente de HTTP para HTTPS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Validação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Reexecutar Checkov no plano e testar redirecionamento no ambiente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Terraform define um listener HTTP e um target group HTTP. Como o recurso está voltado para exposição pública, a ausência de TLS no frontend não é apenas uma preferência de política. A correção deve incluir certificado válido e redirecionamento, além de confirmar se o tráfego interno também precisa de criptografia.</w:t>
      </w:r>
    </w:p>
    <w:p>
      <w:pPr>
        <w:spacing w:after="80" w:before="2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TRIAGEM DE CONTEXTO</w:t>
      </w:r>
    </w:p>
    <w:p>
      <w:pPr>
        <w:pStyle w:val="Heading2"/>
        <w:ind w:firstLine="0"/>
        <w:keepNext/>
        <w:keepLines/>
      </w:pPr>
      <w:r>
        <w:t>Achado 3 ocorrência em snippet didático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268"/>
        <w:gridCol w:w="6803"/>
      </w:tblGrid>
      <w:tr>
        <w:trPr>
          <w:tblHeader w:val="true"/>
        </w:trPr>
        <w:tc>
          <w:tcPr>
            <w:tcW w:type="dxa" w:w="226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Análise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Evidência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Regra comunitária do Semgrep em data/static/codefixes/unionSqlInjectionChallenge_1.ts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Classificação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Falso positivo operacional para o código implantado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CWE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CWE-89 no padrão sintático encontrado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Justificativa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O arquivo é um exemplo didático armazenado como conteúdo de desafio, não uma rota executada pelo servidor</w:t>
            </w:r>
          </w:p>
        </w:tc>
      </w:tr>
      <w:tr>
        <w:tc>
          <w:tcPr>
            <w:tcW w:type="dxa" w:w="226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Tratamento</w:t>
            </w:r>
          </w:p>
        </w:tc>
        <w:tc>
          <w:tcPr>
            <w:tcW w:type="dxa" w:w="680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Excluir o caminho didático do gate, sem remover a regra das rotas reais</w:t>
            </w:r>
          </w:p>
        </w:tc>
      </w:tr>
      <w:tr>
        <w:tc>
          <w:tcPr>
            <w:tcW w:type="dxa" w:w="226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Validação</w:t>
            </w:r>
          </w:p>
        </w:tc>
        <w:tc>
          <w:tcPr>
            <w:tcW w:type="dxa" w:w="680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Confirmar no build que o arquivo não compõe o bundle executável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regra encontrou corretamente uma construção insegura, mas o contexto muda a decisão. Classificar o item como falso positivo operacional não significa que a regra está errada; significa que o arquivo não representa uma superfície executável no alvo. Uma exclusão precisa ser específica para data/static/codefixes. Ignorar toda ocorrência de SQL Injection ocultaria routes/search.ts e routes/login.ts.</w:t>
      </w:r>
    </w:p>
    <w:p>
      <w:pPr>
        <w:pStyle w:val="Heading2"/>
        <w:ind w:firstLine="0"/>
        <w:keepNext/>
        <w:keepLines/>
      </w:pPr>
      <w:r>
        <w:t>Resumo da triagem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8"/>
        <w:gridCol w:w="1701"/>
        <w:gridCol w:w="1531"/>
        <w:gridCol w:w="1304"/>
        <w:gridCol w:w="2098"/>
      </w:tblGrid>
      <w:tr>
        <w:trPr>
          <w:tblHeader w:val="true"/>
        </w:trPr>
        <w:tc>
          <w:tcPr>
            <w:tcW w:type="dxa" w:w="243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Achado</w:t>
            </w:r>
          </w:p>
        </w:tc>
        <w:tc>
          <w:tcPr>
            <w:tcW w:type="dxa" w:w="170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Ferramenta</w:t>
            </w:r>
          </w:p>
        </w:tc>
        <w:tc>
          <w:tcPr>
            <w:tcW w:type="dxa" w:w="153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VP ou FP</w:t>
            </w:r>
          </w:p>
        </w:tc>
        <w:tc>
          <w:tcPr>
            <w:tcW w:type="dxa" w:w="130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Prioridade</w:t>
            </w:r>
          </w:p>
        </w:tc>
        <w:tc>
          <w:tcPr>
            <w:tcW w:type="dxa" w:w="209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Próxima ação</w:t>
            </w:r>
          </w:p>
        </w:tc>
      </w:tr>
      <w:tr>
        <w:tc>
          <w:tcPr>
            <w:tcW w:type="dxa" w:w="243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SQL Injection na busca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Semgrep e ZAP</w:t>
            </w:r>
          </w:p>
        </w:tc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VP</w:t>
            </w:r>
          </w:p>
        </w:tc>
        <w:tc>
          <w:tcPr>
            <w:tcW w:type="dxa" w:w="130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Alta</w:t>
            </w:r>
          </w:p>
        </w:tc>
        <w:tc>
          <w:tcPr>
            <w:tcW w:type="dxa" w:w="20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Parametrizar e retestar</w:t>
            </w:r>
          </w:p>
        </w:tc>
      </w:tr>
      <w:tr>
        <w:tc>
          <w:tcPr>
            <w:tcW w:type="dxa" w:w="243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Listener HTTP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Checkov</w:t>
            </w:r>
          </w:p>
        </w:tc>
        <w:tc>
          <w:tcPr>
            <w:tcW w:type="dxa" w:w="153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VP</w:t>
            </w:r>
          </w:p>
        </w:tc>
        <w:tc>
          <w:tcPr>
            <w:tcW w:type="dxa" w:w="130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Alta</w:t>
            </w:r>
          </w:p>
        </w:tc>
        <w:tc>
          <w:tcPr>
            <w:tcW w:type="dxa" w:w="209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HTTPS e redirecionamento</w:t>
            </w:r>
          </w:p>
        </w:tc>
      </w:tr>
      <w:tr>
        <w:tc>
          <w:tcPr>
            <w:tcW w:type="dxa" w:w="243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SQLi em codefix didático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Semgrep</w:t>
            </w:r>
          </w:p>
        </w:tc>
        <w:tc>
          <w:tcPr>
            <w:tcW w:type="dxa" w:w="153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FP operacional</w:t>
            </w:r>
          </w:p>
        </w:tc>
        <w:tc>
          <w:tcPr>
            <w:tcW w:type="dxa" w:w="130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Baixa</w:t>
            </w:r>
          </w:p>
        </w:tc>
        <w:tc>
          <w:tcPr>
            <w:tcW w:type="dxa" w:w="209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Excluir somente o caminho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Critério de análise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classificação considerou existência da condição, alcance no artefato implantado, evidência independente e possibilidade de reprodução. O mesmo alerta pode mudar de prioridade quando a exposição, o dado processado ou um controle compensatório muda. Por isso, a triagem deve permanecer associada à versão do código e do ambiente.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AVALIAÇÃO TRANSVERSAL</w:t>
      </w:r>
    </w:p>
    <w:p>
      <w:pPr>
        <w:pStyle w:val="Heading1"/>
        <w:ind w:firstLine="0"/>
        <w:keepNext/>
        <w:keepLines/>
      </w:pPr>
      <w:r>
        <w:t>9 Comparação e escolha do toolchain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701"/>
        <w:gridCol w:w="1843"/>
        <w:gridCol w:w="1843"/>
        <w:gridCol w:w="1843"/>
        <w:gridCol w:w="1843"/>
      </w:tblGrid>
      <w:tr>
        <w:trPr>
          <w:tblHeader w:val="true"/>
        </w:trPr>
        <w:tc>
          <w:tcPr>
            <w:tcW w:type="dxa" w:w="170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Critério</w:t>
            </w:r>
          </w:p>
        </w:tc>
        <w:tc>
          <w:tcPr>
            <w:tcW w:type="dxa" w:w="184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Semgrep</w:t>
            </w:r>
          </w:p>
        </w:tc>
        <w:tc>
          <w:tcPr>
            <w:tcW w:type="dxa" w:w="184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Dependency Check</w:t>
            </w:r>
          </w:p>
        </w:tc>
        <w:tc>
          <w:tcPr>
            <w:tcW w:type="dxa" w:w="184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Checkov</w:t>
            </w:r>
          </w:p>
        </w:tc>
        <w:tc>
          <w:tcPr>
            <w:tcW w:type="dxa" w:w="1843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OWASP ZAP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Entrada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Código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Dependências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IaC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Aplicação ativa</w:t>
            </w:r>
          </w:p>
        </w:tc>
      </w:tr>
      <w:tr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Técnica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AST, padrões e taint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Evidência, CPE e CVE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Políticas e grafo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Spider, proxy e payloads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Velocidade no laboratório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~3 min geral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7 s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~9 s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~4 min 48 s</w:t>
            </w:r>
          </w:p>
        </w:tc>
      </w:tr>
      <w:tr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Formato principal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JSON e SARIF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HTML, JSON e SARIF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CLI, JSON e SARIF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HTML, JSON e SARIF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Melhor estágio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Code e Build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Build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Code e Deploy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Test e Release</w:t>
            </w:r>
          </w:p>
        </w:tc>
      </w:tr>
      <w:tr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Limitação observada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Ruído em snippets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Inventário incompleto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Política sem contexto</w:t>
            </w:r>
          </w:p>
        </w:tc>
        <w:tc>
          <w:tcPr>
            <w:tcW w:type="dxa" w:w="1843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Cobertura e confiança</w:t>
            </w:r>
          </w:p>
        </w:tc>
      </w:tr>
      <w:tr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5"/>
              </w:rPr>
              <w:t>Resultado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69 geral; red 1 e green 0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0 CVEs, inconclusivo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42 pass e 24 fail</w:t>
            </w:r>
          </w:p>
        </w:tc>
        <w:tc>
          <w:tcPr>
            <w:tcW w:type="dxa" w:w="1843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5"/>
              </w:rPr>
              <w:t>11 tipos; 1 High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Recomendação do Grupo 4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toolchain recomendado mantém as quatro ferramentas. Semgrep e Checkov executam em pull requests por oferecerem feedback rápido. Dependency-Check executa após a resolução das dependências, com cache atualizado e lockfiles presentes. ZAP roda contra um ambiente efêmero após o deploy de teste. Um job agendado pode ampliar regras e tempo sem atrasar todo commit.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84"/>
        <w:gridCol w:w="3969"/>
        <w:gridCol w:w="3118"/>
      </w:tblGrid>
      <w:tr>
        <w:trPr>
          <w:tblHeader w:val="true"/>
        </w:trPr>
        <w:tc>
          <w:tcPr>
            <w:tcW w:type="dxa" w:w="198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3969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Controle</w:t>
            </w:r>
          </w:p>
        </w:tc>
        <w:tc>
          <w:tcPr>
            <w:tcW w:type="dxa" w:w="311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Gate recomendado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Pre-commit e IDE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rápido e Checkov nos arquivos alterados</w:t>
            </w:r>
          </w:p>
        </w:tc>
        <w:tc>
          <w:tcPr>
            <w:tcW w:type="dxa" w:w="311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Aviso local; sem depender de rede</w:t>
            </w:r>
          </w:p>
        </w:tc>
      </w:tr>
      <w:tr>
        <w:tc>
          <w:tcPr>
            <w:tcW w:type="dxa" w:w="198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Pull request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e Checkov completos</w:t>
            </w:r>
          </w:p>
        </w:tc>
        <w:tc>
          <w:tcPr>
            <w:tcW w:type="dxa" w:w="311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Bloquear novos HIGH e CRITICAL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Build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Dependency-Check com lockfile e base atualizada</w:t>
            </w:r>
          </w:p>
        </w:tc>
        <w:tc>
          <w:tcPr>
            <w:tcW w:type="dxa" w:w="311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CVSS, alcance e exceções válidas</w:t>
            </w:r>
          </w:p>
        </w:tc>
      </w:tr>
      <w:tr>
        <w:tc>
          <w:tcPr>
            <w:tcW w:type="dxa" w:w="198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Ambiente de teste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ZAP autenticado e limitado ao alvo</w:t>
            </w:r>
          </w:p>
        </w:tc>
        <w:tc>
          <w:tcPr>
            <w:tcW w:type="dxa" w:w="311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Risco, confiança e reprodução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Agendado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Scans amplos das quatro ferramentas</w:t>
            </w:r>
          </w:p>
        </w:tc>
        <w:tc>
          <w:tcPr>
            <w:tcW w:type="dxa" w:w="311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Abrir backlog e revisar baselines</w:t>
            </w:r>
          </w:p>
        </w:tc>
      </w:tr>
    </w:tbl>
    <w:p>
      <w:pPr>
        <w:spacing w:after="40"/>
        <w:ind w:firstLine="0"/>
      </w:pP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principal razão para manter ferramentas especializadas é preservar a pergunta de cada controle. Um resultado unificado ajuda a priorizar, mas não deve reduzir SCA, IaC e DAST a um único número. O relatório original continua necessário para entender cobertura e corrigir o problema certo.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BUILD RED E BUILD GREEN</w:t>
      </w:r>
    </w:p>
    <w:p>
      <w:pPr>
        <w:pStyle w:val="Heading1"/>
        <w:ind w:firstLine="0"/>
        <w:keepNext/>
        <w:keepLines/>
      </w:pPr>
      <w:r>
        <w:t>10 Integração contínua e quality gate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workflow .github/workflows/devsecops.yml contém dois jobs independentes. O primeiro executa o Semgrep no cenário vulnerável, confirma que o gate bloqueia e depois repete sobre a cópia corrigida. O segundo sobe o Juice Shop local, executa o ZAP e confirma o bloqueio. Os relatórios são publicados com if: always para permanecerem disponíveis mesmo quando a decisão de segurança é negativa.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84"/>
        <w:gridCol w:w="2835"/>
        <w:gridCol w:w="1701"/>
        <w:gridCol w:w="2551"/>
      </w:tblGrid>
      <w:tr>
        <w:trPr>
          <w:tblHeader w:val="true"/>
        </w:trPr>
        <w:tc>
          <w:tcPr>
            <w:tcW w:type="dxa" w:w="198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2835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Relatório</w:t>
            </w:r>
          </w:p>
        </w:tc>
        <w:tc>
          <w:tcPr>
            <w:tcW w:type="dxa" w:w="170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Bloqueadores</w:t>
            </w:r>
          </w:p>
        </w:tc>
        <w:tc>
          <w:tcPr>
            <w:tcW w:type="dxa" w:w="255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Resultado esperado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SAST red</w:t>
            </w:r>
          </w:p>
        </w:tc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semgrep-red.json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 HIGH</w:t>
            </w:r>
          </w:p>
        </w:tc>
        <w:tc>
          <w:tcPr>
            <w:tcW w:type="dxa" w:w="255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Teste comprova gate bloqueado</w:t>
            </w:r>
          </w:p>
        </w:tc>
      </w:tr>
      <w:tr>
        <w:tc>
          <w:tcPr>
            <w:tcW w:type="dxa" w:w="198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SAST green</w:t>
            </w:r>
          </w:p>
        </w:tc>
        <w:tc>
          <w:tcPr>
            <w:tcW w:type="dxa" w:w="2835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semgrep-green.json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55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Gate aprovado</w:t>
            </w:r>
          </w:p>
        </w:tc>
      </w:tr>
      <w:tr>
        <w:tc>
          <w:tcPr>
            <w:tcW w:type="dxa" w:w="198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DAST</w:t>
            </w:r>
          </w:p>
        </w:tc>
        <w:tc>
          <w:tcPr>
            <w:tcW w:type="dxa" w:w="2835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zap-juice-shop.json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1 HIGH</w:t>
            </w:r>
          </w:p>
        </w:tc>
        <w:tc>
          <w:tcPr>
            <w:tcW w:type="dxa" w:w="255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Teste comprova gate bloqueado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Normalização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script scripts/quality-gate.mjs converte severidades do Semgrep e riskcode do ZAP para LOW, MEDIUM, HIGH e CRITICAL. O limiar padrão é HIGH. No modo expect fail, o teste termina com sucesso somente quando encontra um bloqueador; isso permite demonstrar o build vermelho sem transformar a validação do laboratório em falha acidental do workflow.</w:t>
      </w:r>
    </w:p>
    <w:p>
      <w:pPr>
        <w:pStyle w:val="Heading2"/>
        <w:ind w:firstLine="0"/>
        <w:keepNext/>
        <w:keepLines/>
      </w:pPr>
      <w:r>
        <w:t>Ampliação para SCA e IaC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Checkov pode entrar em um terceiro job e remover --soft-fail quando a política estiver acordada. Dependency-Check deve ser adicionado depois da geração do lockfile e instalação das dependências, com dados do NVD em cache. Adicionar o SCA antes de corrigir a cobertura apenas automatizaria um falso sentimento de segurança.</w:t>
      </w:r>
    </w:p>
    <w:p>
      <w:pPr>
        <w:pStyle w:val="Heading2"/>
        <w:ind w:firstLine="0"/>
        <w:keepNext/>
        <w:keepLines/>
      </w:pPr>
      <w:r>
        <w:t>Governança do gate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Bloquear achados novos acima do limiar e preservar o relatório completo.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Exigir responsável, motivo e data de expiração para exceções.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Distinguir erro da ferramenta, falta de cobertura e ausência real de achados.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Medir idade, reincidência, tempo de correção, cobertura e falsos positivos triados.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Reavaliar baselines quando a regra, a versão da ferramenta ou a exposição mudar.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política técnica só funciona quando existe um caminho de correção. Um gate que bloqueia sem publicar localização, evidência e orientação transfere o problema para o fim do processo. O desenho do grupo mantém JSON para decisão automática, SARIF para revisão e HTML para leitura e plano B.</w:t>
      </w:r>
    </w:p>
    <w:p>
      <w:pPr>
        <w:spacing w:after="80" w:before="36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SÍNTESE CRÍTICA</w:t>
      </w:r>
    </w:p>
    <w:p>
      <w:pPr>
        <w:pStyle w:val="Heading1"/>
        <w:ind w:firstLine="0"/>
        <w:keepNext/>
        <w:keepLines/>
      </w:pPr>
      <w:r>
        <w:t>11 Limitações e conclusão</w:t>
      </w:r>
    </w:p>
    <w:p>
      <w:pPr>
        <w:pStyle w:val="Heading2"/>
        <w:ind w:firstLine="0"/>
        <w:keepNext/>
        <w:keepLines/>
      </w:pPr>
      <w:r>
        <w:t>Limitações do experimento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O Semgrep geral gerou 69 achados, mas somente recortes prioritários foram triados manualmente.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O red e green do Semgrep analisou um arquivo para garantir execução previsível durante a apresentação.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O Dependency-Check não recebeu lockfiles nem node_modules e foi executado sem atualizar a base.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O Checkov avaliou o Terraform oficial, não um plano resolvido nem recursos já implantados.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O ZAP não autenticou usuários e limitou o active scan a quatro minutos e duas regras ativas.</w:t>
      </w:r>
    </w:p>
    <w:p>
      <w:pPr>
        <w:pStyle w:val="ListBullet"/>
        <w:spacing w:line="360" w:lineRule="auto" w:after="80"/>
        <w:ind w:left="369" w:hanging="198"/>
      </w:pPr>
      <w:r>
        <w:rPr>
          <w:rFonts w:ascii="Arial" w:hAnsi="Arial" w:eastAsia="Arial"/>
          <w:color w:val="000000"/>
          <w:sz w:val="22"/>
        </w:rPr>
        <w:t>A imagem oficial do Juice Shop permaneceu vulnerável; o green foi uma cópia usada apenas pelo SAST.</w:t>
      </w:r>
    </w:p>
    <w:p>
      <w:r>
        <w:br w:type="page"/>
      </w:r>
    </w:p>
    <w:p>
      <w:pPr>
        <w:pStyle w:val="Heading2"/>
        <w:ind w:firstLine="0"/>
        <w:keepNext/>
        <w:keepLines/>
      </w:pPr>
      <w:r>
        <w:t>Conclusão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As quatro ferramentas foram executadas e produziram resultados distintos. O Semgrep ofereceu ampla visibilidade do código e comprovou uma correção específica. O Dependency-Check mostrou, pela ausência de inventário suficiente, que um scan concluído pode continuar inconclusivo. O Checkov revelou 24 desvios concretos no Terraform. O ZAP observou o sistema em execução e encontrou um alerta HIGH correlacionável ao código.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 correlação mais forte foi a SQL Injection da busca. Semgrep mostrou a interpolação na consulta; ZAP mostrou o endpoint respondendo de forma compatível com um payload de injeção; a consulta parametrizada removeu o padrão no cenário green. Essa sequência fornece evidência de achado, correção e verificação, sem afirmar que um único teste tornou a aplicação segura.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 Grupo 4 recomenda executar Semgrep e Checkov cedo, Dependency-Check com inventário completo no build e ZAP em um ambiente local ou efêmero de teste. Gates devem tratar HIGH e CRITICAL, mas também precisam registrar cobertura, confiança e exceções. A combinação oferece defesa em profundidade porque cada ferramenta enxerga uma parte que as outras não observam.</w:t>
      </w:r>
    </w:p>
    <w:p>
      <w:pPr>
        <w:pStyle w:val="Heading2"/>
        <w:ind w:firstLine="0"/>
        <w:keepNext/>
        <w:keepLines/>
      </w:pPr>
      <w:r>
        <w:t>Orientação para a apresentação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Na apresentação, mostrar o Semgrep geral, o red e green da consulta e o relatório do ZAP. Checkov entra com as 24 falhas e Dependency-Check como exemplo de cobertura insuficiente. Essa leitura demonstra domínio técnico além das contagens.</w:t>
      </w:r>
    </w:p>
    <w:p>
      <w:r>
        <w:br w:type="page"/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FONTES PRIMÁRIAS E NORMAS</w:t>
      </w:r>
    </w:p>
    <w:p>
      <w:pPr>
        <w:pStyle w:val="Heading1"/>
        <w:ind w:firstLine="0"/>
        <w:keepNext/>
        <w:keepLines/>
      </w:pPr>
      <w:r>
        <w:t>Referências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[1] NATIONAL INSTITUTE OF STANDARDS AND TECHNOLOGY. Secure Software Development Framework SSDF Version 1.1: Recommendations for Mitigating the Risk of Software Vulnerabilities. Gaithersburg, 2022. Disponível em: https://csrc.nist.gov/pubs/sp/800/218/final.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[2] OWASP FOUNDATION. DevSecOps Guideline: Vulnerability Scanning. Disponível em: https://owasp.org/www-project-devsecops-guideline/latest/02-Vulnerability-Scanning.html.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[3] CYBERSECURITY AND INFRASTRUCTURE SECURITY AGENCY. 2025 Minimum Elements for a Software Bill of Materials. Washington, 2025. Disponível em: https://www.cisa.gov/resources-tools/resources/2025-minimum-elements-software-bill-materials-sbom.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[4] MITRE. CWE-89: Improper Neutralization of Special Elements used in an SQL Command. Disponível em: https://cwe.mitre.org/data/definitions/89.html.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[5] SEMGREP. Semgrep repository. GitHub, 2026. Disponível em: https://github.com/semgrep/semgrep.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[6] SEMGREP. Continuous integration documentation. Disponível em: https://semgrep.dev/docs/semgrep-ci/overview.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[7] SEMGREP. Release v1.177.0. GitHub, 10 set. 2026. Disponível em: https://github.com/semgrep/semgrep/releases/tag/v1.177.0.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[8] OWASP DEPENDENCY-CHECK. Official repository and usage documentation. GitHub, 2026. Disponível em: https://github.com/dependency-check/DependencyCheck.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[9] OWASP DEPENDENCY-CHECK. Command Line Arguments. Disponível em: https://dependency-check.github.io/DependencyCheck/dependency-check-cli/arguments.html.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[10] OWASP DEPENDENCY-CHECK. Version 13.0.0. GitHub, 3 ago. 2026. Disponível em: https://github.com/dependency-check/DependencyCheck/releases/tag/v13.0.0.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[11] BRIDGECREW. Checkov repository. GitHub, 2026. Disponível em: https://github.com/bridgecrewio/checkov.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[12] CHECKOV. Output formats. Disponível em: https://www.checkov.io/8.Outputs/Output%20Formats.html.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[13] BRIDGECREW. Checkov release 3.3.17. GitHub, 10 set. 2026. Disponível em: https://github.com/bridgecrewio/checkov/releases/tag/3.3.17.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[14] ZAPROXY. ZAP core repository. GitHub, 2026. Disponível em: https://github.com/zaproxy/zaproxy.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[15] ZAPROXY. Automation Framework. Disponível em: https://www.zaproxy.org/docs/automate/automation-framework/.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[16] ZAPROXY. ZAP Docker images. Disponível em: https://www.zaproxy.org/docs/docker/about/.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[17] ZAPROXY. ZAP 2.17.0. 15 dez. 2025. Disponível em: https://www.zaproxy.org/blog/2025-12-15-zap-2-17-0/.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[18] OWASP JUICE SHOP. Release v20.2.0. GitHub, 2026. Disponível em: https://github.com/juice-shop/juice-shop/releases/tag/v20.2.0.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[19] OWASP FOUNDATION. OWASP Top 10: A03 Injection. Disponível em: https://owasp.org/Top10/A03_2021-Injection/.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[20] GITHUB. Uploading a SARIF file to GitHub. Disponível em: https://docs.github.com/code-security/code-scanning/integrating-with-code-scanning/uploading-a-sarif-file-to-github. Acesso em: 15 set. 2026.</w:t>
      </w:r>
    </w:p>
    <w:p>
      <w:pPr>
        <w:spacing w:after="140" w:line="240" w:lineRule="auto"/>
        <w:ind w:firstLine="0"/>
        <w:jc w:val="left"/>
      </w:pPr>
      <w:r>
        <w:rPr>
          <w:rFonts w:ascii="Arial" w:hAnsi="Arial" w:eastAsia="Arial"/>
          <w:color w:val="000000"/>
          <w:sz w:val="18"/>
        </w:rPr>
        <w:t>[21] OWASP FOUNDATION. CycloneDX. Disponível em: https://owasp.org/www-project-cyclonedx/. Acesso em: 15 set. 2026.</w:t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REPRODUÇÃO</w:t>
      </w:r>
    </w:p>
    <w:p>
      <w:pPr>
        <w:pStyle w:val="Heading1"/>
        <w:ind w:firstLine="0"/>
        <w:keepNext/>
        <w:keepLines/>
      </w:pPr>
      <w:r>
        <w:t>Apêndice A Comandos principais</w:t>
      </w:r>
    </w:p>
    <w:p>
      <w:pPr>
        <w:pStyle w:val="Heading2"/>
        <w:ind w:firstLine="0"/>
        <w:keepNext/>
        <w:keepLines/>
      </w:pPr>
      <w:r>
        <w:t>Preparação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Set-ExecutionPolicy -Scope Process Bypass</w:t>
        <w:br/>
        <w:t>Set-Location "C:\Users\Hayom\Documents\CheckpointDevOps"</w:t>
        <w:br/>
        <w:t>$ProjectDir = (Get-Location).Path</w:t>
        <w:br/>
        <w:t>.\scripts\fetch-target.ps1</w:t>
        <w:br/>
        <w:t>New-Item -ItemType Directory -Force .\reports | Out-Null</w:t>
      </w:r>
    </w:p>
    <w:p>
      <w:pPr>
        <w:pStyle w:val="Heading2"/>
        <w:ind w:firstLine="0"/>
        <w:keepNext/>
        <w:keepLines/>
      </w:pPr>
      <w:r>
        <w:t>Semgrep red e green por comandos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# RED: regras comunitárias gerais</w:t>
        <w:br/>
        <w:t>docker compose --profile tools run --rm semgrep semgrep scan `</w:t>
        <w:br/>
        <w:t xml:space="preserve">  --config auto --json --output /workspace/reports/semgrep-red.json `</w:t>
        <w:br/>
        <w:t xml:space="preserve">  /workspace/target/juice-shop/routes/search.ts</w:t>
        <w:br/>
        <w:br/>
        <w:t>docker compose --profile tools run --rm gate node /workspace/scripts/quality-gate.mjs `</w:t>
        <w:br/>
        <w:t xml:space="preserve">  --semgrep /workspace/reports/semgrep-red.json --threshold HIGH --expect fail</w:t>
        <w:br/>
        <w:br/>
        <w:t># CORREÇÃO E GREEN</w:t>
        <w:br/>
        <w:t>.\scripts\prepare-green.ps1</w:t>
        <w:br/>
        <w:t>docker compose --profile tools run --rm semgrep semgrep scan `</w:t>
        <w:br/>
        <w:t xml:space="preserve">  --config auto --json --output /workspace/reports/semgrep-green.json `</w:t>
        <w:br/>
        <w:t xml:space="preserve">  /workspace/target/juice-shop-fixed/routes/search.ts</w:t>
        <w:br/>
        <w:br/>
        <w:t>docker compose --profile tools run --rm gate node /workspace/scripts/quality-gate.mjs `</w:t>
        <w:br/>
        <w:t xml:space="preserve">  --semgrep /workspace/reports/semgrep-green.json --threshold HIGH --expect pass</w:t>
      </w:r>
    </w:p>
    <w:p>
      <w:pPr>
        <w:pStyle w:val="Heading2"/>
        <w:ind w:firstLine="0"/>
        <w:keepNext/>
        <w:keepLines/>
      </w:pPr>
      <w:r>
        <w:t>OWASP ZAP por comando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docker compose up -d juice-shop</w:t>
        <w:br/>
        <w:t>docker compose --profile tools run --rm zap</w:t>
        <w:br/>
        <w:t>docker compose --profile tools run --rm gate node /workspace/scripts/quality-gate.mjs `</w:t>
        <w:br/>
        <w:t xml:space="preserve">  --zap /workspace/reports/zap-juice-shop.json --threshold HIGH --expect fail</w:t>
      </w:r>
    </w:p>
    <w:p>
      <w:pPr>
        <w:pStyle w:val="Heading2"/>
        <w:ind w:firstLine="0"/>
        <w:keepNext/>
        <w:keepLines/>
      </w:pPr>
      <w:r>
        <w:t>Execução complementar do Checkov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docker run --rm -v "${ProjectDir}\target\juice-shop\terraform:/tf:ro" `</w:t>
        <w:br/>
        <w:t xml:space="preserve">  ghcr.io/bridgecrewio/checkov:3.3.11 -d /tf --framework terraform --compact --soft-fail</w:t>
      </w:r>
    </w:p>
    <w:p>
      <w:pPr>
        <w:pStyle w:val="Heading2"/>
        <w:ind w:firstLine="0"/>
        <w:keepNext/>
        <w:keepLines/>
      </w:pPr>
      <w:r>
        <w:t>Encerramento</w:t>
      </w:r>
    </w:p>
    <w:p>
      <w:pPr>
        <w:spacing w:line="240" w:lineRule="auto" w:before="100" w:after="160"/>
        <w:ind w:left="142" w:right="142" w:firstLine="0"/>
        <w:jc w:val="left"/>
        <w:shd w:fill="F4F6F7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Consolas"/>
          <w:color w:val="000000"/>
          <w:sz w:val="17"/>
        </w:rPr>
        <w:t>docker compose --profile tools down --remove-orphans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Os comandos completos, resultados esperados e solução de problemas estão em LAB.md. As imagens Docker permanecem em cache após o encerramento para reduzir o risco de rede durante a apresentação.</w:t>
      </w:r>
    </w:p>
    <w:p>
      <w:r>
        <w:br w:type="page"/>
      </w:r>
    </w:p>
    <w:p>
      <w:pPr>
        <w:spacing w:after="40"/>
      </w:pP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RASTREABILIDADE</w:t>
      </w:r>
    </w:p>
    <w:p>
      <w:pPr>
        <w:pStyle w:val="Heading1"/>
        <w:ind w:firstLine="0"/>
        <w:keepNext/>
        <w:keepLines/>
      </w:pPr>
      <w:r>
        <w:t>Apêndice B Mapa de evidências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154"/>
        <w:gridCol w:w="3628"/>
        <w:gridCol w:w="3288"/>
      </w:tblGrid>
      <w:tr>
        <w:trPr>
          <w:tblHeader w:val="true"/>
        </w:trPr>
        <w:tc>
          <w:tcPr>
            <w:tcW w:type="dxa" w:w="2154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Evidência</w:t>
            </w:r>
          </w:p>
        </w:tc>
        <w:tc>
          <w:tcPr>
            <w:tcW w:type="dxa" w:w="362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Arquivo</w:t>
            </w:r>
          </w:p>
        </w:tc>
        <w:tc>
          <w:tcPr>
            <w:tcW w:type="dxa" w:w="3288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Finalidade</w:t>
            </w:r>
          </w:p>
        </w:tc>
      </w:tr>
      <w:tr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Semgrep geral</w:t>
            </w:r>
          </w:p>
        </w:tc>
        <w:tc>
          <w:tcPr>
            <w:tcW w:type="dxa" w:w="362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reports/semgrep-auto.json e semgrep-auto.log</w:t>
            </w:r>
          </w:p>
        </w:tc>
        <w:tc>
          <w:tcPr>
            <w:tcW w:type="dxa" w:w="328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Cobertura geral sem regra própria</w:t>
            </w:r>
          </w:p>
        </w:tc>
      </w:tr>
      <w:tr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Semgrep red</w:t>
            </w:r>
          </w:p>
        </w:tc>
        <w:tc>
          <w:tcPr>
            <w:tcW w:type="dxa" w:w="362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reports/semgrep-red.json</w:t>
            </w:r>
          </w:p>
        </w:tc>
        <w:tc>
          <w:tcPr>
            <w:tcW w:type="dxa" w:w="328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Comprovar HIGH e bloqueio</w:t>
            </w:r>
          </w:p>
        </w:tc>
      </w:tr>
      <w:tr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Semgrep green</w:t>
            </w:r>
          </w:p>
        </w:tc>
        <w:tc>
          <w:tcPr>
            <w:tcW w:type="dxa" w:w="362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reports/semgrep-green.json</w:t>
            </w:r>
          </w:p>
        </w:tc>
        <w:tc>
          <w:tcPr>
            <w:tcW w:type="dxa" w:w="328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Comprovar ausência do padrão após correção</w:t>
            </w:r>
          </w:p>
        </w:tc>
      </w:tr>
      <w:tr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Dependency-Check</w:t>
            </w:r>
          </w:p>
        </w:tc>
        <w:tc>
          <w:tcPr>
            <w:tcW w:type="dxa" w:w="362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reports/dependency-check/</w:t>
            </w:r>
          </w:p>
        </w:tc>
        <w:tc>
          <w:tcPr>
            <w:tcW w:type="dxa" w:w="328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HTML, JSON, XML, CSV e SARIF</w:t>
            </w:r>
          </w:p>
        </w:tc>
      </w:tr>
      <w:tr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Checkov</w:t>
            </w:r>
          </w:p>
        </w:tc>
        <w:tc>
          <w:tcPr>
            <w:tcW w:type="dxa" w:w="362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reports/checkov.json e checkov.sarif</w:t>
            </w:r>
          </w:p>
        </w:tc>
        <w:tc>
          <w:tcPr>
            <w:tcW w:type="dxa" w:w="328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42 aprovados e 24 reprovados</w:t>
            </w:r>
          </w:p>
        </w:tc>
      </w:tr>
      <w:tr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OWASP ZAP</w:t>
            </w:r>
          </w:p>
        </w:tc>
        <w:tc>
          <w:tcPr>
            <w:tcW w:type="dxa" w:w="362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reports/zap-juice-shop.html e .json</w:t>
            </w:r>
          </w:p>
        </w:tc>
        <w:tc>
          <w:tcPr>
            <w:tcW w:type="dxa" w:w="328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11 tipos de alerta e gate</w:t>
            </w:r>
          </w:p>
        </w:tc>
      </w:tr>
      <w:tr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Captura Semgrep</w:t>
            </w:r>
          </w:p>
        </w:tc>
        <w:tc>
          <w:tcPr>
            <w:tcW w:type="dxa" w:w="362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evidencias/real-semgrep-terminal.png</w:t>
            </w:r>
          </w:p>
        </w:tc>
        <w:tc>
          <w:tcPr>
            <w:tcW w:type="dxa" w:w="328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Execução real no terminal</w:t>
            </w:r>
          </w:p>
        </w:tc>
      </w:tr>
      <w:tr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Captura Checkov</w:t>
            </w:r>
          </w:p>
        </w:tc>
        <w:tc>
          <w:tcPr>
            <w:tcW w:type="dxa" w:w="362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evidencias/real-checkov-terminal.png</w:t>
            </w:r>
          </w:p>
        </w:tc>
        <w:tc>
          <w:tcPr>
            <w:tcW w:type="dxa" w:w="328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Execução real no terminal</w:t>
            </w:r>
          </w:p>
        </w:tc>
      </w:tr>
      <w:tr>
        <w:tc>
          <w:tcPr>
            <w:tcW w:type="dxa" w:w="2154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Captura Dependency-Check</w:t>
            </w:r>
          </w:p>
        </w:tc>
        <w:tc>
          <w:tcPr>
            <w:tcW w:type="dxa" w:w="362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evidencias/real-dependency-check.png</w:t>
            </w:r>
          </w:p>
        </w:tc>
        <w:tc>
          <w:tcPr>
            <w:tcW w:type="dxa" w:w="3288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Relatório HTML real</w:t>
            </w:r>
          </w:p>
        </w:tc>
      </w:tr>
      <w:tr>
        <w:tc>
          <w:tcPr>
            <w:tcW w:type="dxa" w:w="2154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7"/>
              </w:rPr>
              <w:t>Captura ZAP</w:t>
            </w:r>
          </w:p>
        </w:tc>
        <w:tc>
          <w:tcPr>
            <w:tcW w:type="dxa" w:w="362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evidencias/real-zap-resumo.png</w:t>
            </w:r>
          </w:p>
        </w:tc>
        <w:tc>
          <w:tcPr>
            <w:tcW w:type="dxa" w:w="3288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7"/>
              </w:rPr>
              <w:t>Relatório HTML real</w:t>
            </w:r>
          </w:p>
        </w:tc>
      </w:tr>
    </w:tbl>
    <w:p>
      <w:pPr>
        <w:spacing w:after="40"/>
        <w:ind w:firstLine="0"/>
      </w:pPr>
    </w:p>
    <w:p>
      <w:pPr>
        <w:pStyle w:val="Heading2"/>
        <w:ind w:firstLine="0"/>
        <w:keepNext/>
        <w:keepLines/>
      </w:pPr>
      <w:r>
        <w:t>Perguntas de verificação para a turma</w:t>
      </w:r>
    </w:p>
    <w:p>
      <w:pPr>
        <w:spacing w:after="80"/>
        <w:ind w:firstLine="0" w:left="227"/>
      </w:pPr>
      <w:r>
        <w:rPr>
          <w:rFonts w:ascii="Arial" w:hAnsi="Arial" w:eastAsia="Arial"/>
          <w:color w:val="000000"/>
          <w:sz w:val="22"/>
        </w:rPr>
        <w:t>1. Quantos achados HIGH o cenário Semgrep red produz e qual é o resultado após a correção?</w:t>
      </w:r>
    </w:p>
    <w:p>
      <w:pPr>
        <w:spacing w:after="80"/>
        <w:ind w:firstLine="0" w:left="227"/>
      </w:pPr>
      <w:r>
        <w:rPr>
          <w:rFonts w:ascii="Arial" w:hAnsi="Arial" w:eastAsia="Arial"/>
          <w:color w:val="000000"/>
          <w:sz w:val="22"/>
        </w:rPr>
        <w:t>2. Qual plugin do ZAP reporta a SQL Injection e qual CWE está associado ao alerta?</w:t>
      </w:r>
    </w:p>
    <w:p>
      <w:r>
        <w:br w:type="page"/>
      </w:r>
    </w:p>
    <w:p>
      <w:pPr>
        <w:spacing w:after="80"/>
        <w:ind w:firstLine="0"/>
        <w:keepNext/>
        <w:keepLines/>
      </w:pPr>
      <w:r>
        <w:rPr>
          <w:rFonts w:ascii="Arial" w:hAnsi="Arial" w:eastAsia="Arial"/>
          <w:b/>
          <w:color w:val="00A6C8"/>
          <w:sz w:val="18"/>
        </w:rPr>
        <w:t>TRANSPARÊNCIA ACADÊMICA</w:t>
      </w:r>
    </w:p>
    <w:p>
      <w:pPr>
        <w:pStyle w:val="Heading1"/>
        <w:ind w:firstLine="0"/>
        <w:keepNext/>
        <w:keepLines/>
      </w:pPr>
      <w:r>
        <w:t>Apêndice C Uso de inteligência artificial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Ferramentas de inteligência artificial apoiaram a organização inicial do repositório, a redação, a revisão do relatório e a preparação de scripts. O grupo validou as afirmações por meio dos relatórios produzidos pelas ferramentas, do código versionado e das documentações oficiais citadas.</w:t>
      </w:r>
    </w:p>
    <w:p>
      <w:pPr>
        <w:spacing w:after="120"/>
      </w:pPr>
      <w:r>
        <w:rPr>
          <w:rFonts w:ascii="Arial" w:hAnsi="Arial" w:eastAsia="Arial"/>
          <w:color w:val="000000"/>
          <w:sz w:val="22"/>
        </w:rPr>
        <w:t>As decisões de escopo, execução, classificação de achados e apresentação permanecem sob responsabilidade do Grupo 4. Métricas como quantidade de arquivos, regras, checks, URLs, alertas, versões e tempos foram conferidas nos artefatos gerados em 15 de setembro de 2026. A declaração detalhada está em USO-DE-IA.md.</w:t>
      </w:r>
    </w:p>
    <w:p>
      <w:pPr>
        <w:pStyle w:val="Heading2"/>
        <w:ind w:firstLine="0"/>
        <w:keepNext/>
        <w:keepLines/>
      </w:pPr>
      <w:r>
        <w:t>Checklist de entrega relacionado ao relatório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02"/>
        <w:gridCol w:w="1701"/>
        <w:gridCol w:w="3969"/>
      </w:tblGrid>
      <w:tr>
        <w:trPr>
          <w:tblHeader w:val="true"/>
        </w:trPr>
        <w:tc>
          <w:tcPr>
            <w:tcW w:type="dxa" w:w="3402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701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3969"/>
            <w:shd w:fill="0B2545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2" w:lineRule="auto" w:after="0"/>
              <w:ind w:firstLine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Quatro ferramentas cobertas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Seções 4 a 7</w:t>
            </w:r>
          </w:p>
        </w:tc>
      </w:tr>
      <w:tr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Execução das quatro ferramentas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reports e figuras 1 a 4</w:t>
            </w:r>
          </w:p>
        </w:tc>
      </w:tr>
      <w:tr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Duas categorias no laboratório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 e ZAP</w:t>
            </w:r>
          </w:p>
        </w:tc>
      </w:tr>
      <w:tr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Build red e green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semgrep-red.json e semgrep-green.json</w:t>
            </w:r>
          </w:p>
        </w:tc>
      </w:tr>
      <w:tr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Três achados classificados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Seção 8</w:t>
            </w:r>
          </w:p>
        </w:tc>
      </w:tr>
      <w:tr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Mínimo de dez fontes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21 referências, maioria primária</w:t>
            </w:r>
          </w:p>
        </w:tc>
      </w:tr>
      <w:tr>
        <w:tc>
          <w:tcPr>
            <w:tcW w:type="dxa" w:w="3402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Plano B</w:t>
            </w:r>
          </w:p>
        </w:tc>
        <w:tc>
          <w:tcPr>
            <w:tcW w:type="dxa" w:w="1701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FFFFFF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Relatórios e capturas versionados</w:t>
            </w:r>
          </w:p>
        </w:tc>
      </w:tr>
      <w:tr>
        <w:tc>
          <w:tcPr>
            <w:tcW w:type="dxa" w:w="3402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/>
                <w:color w:val="000000"/>
                <w:sz w:val="18"/>
              </w:rPr>
              <w:t>Declaração de IA</w:t>
            </w:r>
          </w:p>
        </w:tc>
        <w:tc>
          <w:tcPr>
            <w:tcW w:type="dxa" w:w="1701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center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Atendido</w:t>
            </w:r>
          </w:p>
        </w:tc>
        <w:tc>
          <w:tcPr>
            <w:tcW w:type="dxa" w:w="3969"/>
            <w:shd w:fill="EAF5F8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line="259" w:lineRule="auto" w:after="0"/>
              <w:ind w:firstLine="0"/>
              <w:jc w:val="left"/>
            </w:pPr>
            <w:r>
              <w:rPr>
                <w:rFonts w:ascii="Arial" w:hAnsi="Arial" w:eastAsia="Arial"/>
                <w:b w:val="0"/>
                <w:color w:val="000000"/>
                <w:sz w:val="18"/>
              </w:rPr>
              <w:t>USO-DE-IA.md e este apêndice</w:t>
            </w:r>
          </w:p>
        </w:tc>
      </w:tr>
    </w:tbl>
    <w:p>
      <w:pPr>
        <w:spacing w:after="40"/>
        <w:ind w:firstLine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09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7824"/>
      <w:gridCol w:w="1247"/>
    </w:tblGrid>
    <w:tr>
      <w:tc>
        <w:tcPr>
          <w:tcW w:type="dxa" w:w="4535"/>
        </w:tcPr>
        <w:p>
          <w:pPr>
            <w:spacing w:after="0"/>
            <w:jc w:val="left"/>
          </w:pPr>
          <w:r>
            <w:rPr>
              <w:rFonts w:ascii="Arial" w:hAnsi="Arial" w:eastAsia="Arial"/>
              <w:color w:val="66737D"/>
              <w:sz w:val="16"/>
            </w:rPr>
            <w:t>Relatório DevSecOps | Grupo 4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Arial" w:hAnsi="Arial" w:eastAsia="Arial"/>
              <w:color w:val="66737D"/>
              <w:sz w:val="18"/>
            </w:rPr>
          </w:r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" w:hAnsi="Arial" w:eastAsia="Arial"/>
        <w:b/>
        <w:color w:val="66737D"/>
        <w:sz w:val="17"/>
      </w:rPr>
      <w:t>CHECKPOINT 01   |   DEVSECOPS   |   GRUPO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  <w:ind w:firstLine="709"/>
      <w:jc w:val="both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" w:hAnsi="Arial"/>
      <w:b/>
      <w:bCs/>
      <w:color w:val="6673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Ferramentas open source de SAST SCA IaC Security e DAST no pipeline DevSecOps</dc:title>
  <dc:subject>Checkpoint 01 do Grupo 4</dc:subject>
  <dc:creator>Tiago Louzã; Leando de Souza Silva; Luiz Fernando; Fabricio de Freitas Evangelista; Erik Gunnar</dc:creator>
  <cp:keywords>DevSecOps, Semgrep, Dependency-Check, Checkov, OWASP ZAP, Juice Shop</cp:keywords>
  <dc:description>Relatório acadêmico validado com evidências do laboratório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