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8362"/>
      </w:tblGrid>
      <w:tr>
        <w:tc>
          <w:tcPr>
            <w:tcW w:type="dxa" w:w="4535"/>
            <w:shd w:fill="00A6C8"/>
            <w:tcMar>
              <w:top w:w="170" w:type="dxa"/>
              <w:start w:w="150" w:type="dxa"/>
              <w:bottom w:w="170" w:type="dxa"/>
              <w:end w:w="150" w:type="dxa"/>
            </w:tcMar>
          </w:tcPr>
          <w:p/>
        </w:tc>
        <w:tc>
          <w:tcPr>
            <w:tcW w:type="dxa" w:w="4535"/>
            <w:shd w:fill="0B2545"/>
            <w:tcMar>
              <w:top w:w="170" w:type="dxa"/>
              <w:start w:w="150" w:type="dxa"/>
              <w:bottom w:w="17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CHECKPOINT 01   DEVSECOPS</w:t>
            </w:r>
          </w:p>
        </w:tc>
      </w:tr>
    </w:tbl>
    <w:p/>
    <w:p/>
    <w:p/>
    <w:p>
      <w:pPr>
        <w:pStyle w:val="Title"/>
        <w:ind w:firstLine="0"/>
      </w:pPr>
      <w:r>
        <w:rPr>
          <w:rFonts w:ascii="Arial" w:hAnsi="Arial" w:eastAsia="Arial"/>
          <w:b/>
          <w:color w:val="000000"/>
          <w:sz w:val="48"/>
        </w:rPr>
        <w:t>Ferramentas open source de SAST SCA IaC Security e DAST no pipeline DevSecOps</w:t>
      </w:r>
    </w:p>
    <w:p>
      <w:pPr>
        <w:spacing w:after="480"/>
        <w:ind w:firstLine="0"/>
      </w:pPr>
      <w:r>
        <w:rPr>
          <w:rFonts w:ascii="Arial" w:hAnsi="Arial" w:eastAsia="Arial"/>
          <w:color w:val="153B5B"/>
          <w:sz w:val="26"/>
        </w:rPr>
        <w:t>Análise do Grupo 4 com Semgrep OWASP Dependency Check Checkov e OWASP ZAP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2545"/>
            <w:tcMar>
              <w:top w:w="180" w:type="dxa"/>
              <w:start w:w="90" w:type="dxa"/>
              <w:bottom w:w="180" w:type="dxa"/>
              <w:end w:w="9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Arial" w:hAnsi="Arial" w:eastAsia="Arial"/>
                <w:b/>
                <w:color w:val="00A6C8"/>
                <w:sz w:val="20"/>
              </w:rPr>
              <w:t>SAST</w:t>
              <w:br/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Semgrep</w:t>
            </w:r>
          </w:p>
        </w:tc>
        <w:tc>
          <w:tcPr>
            <w:tcW w:type="dxa" w:w="2268"/>
            <w:shd w:fill="153B5B"/>
            <w:tcMar>
              <w:top w:w="180" w:type="dxa"/>
              <w:start w:w="90" w:type="dxa"/>
              <w:bottom w:w="180" w:type="dxa"/>
              <w:end w:w="9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Arial" w:hAnsi="Arial" w:eastAsia="Arial"/>
                <w:b/>
                <w:color w:val="00A6C8"/>
                <w:sz w:val="20"/>
              </w:rPr>
              <w:t>SCA</w:t>
              <w:br/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Dependency Check</w:t>
            </w:r>
          </w:p>
        </w:tc>
        <w:tc>
          <w:tcPr>
            <w:tcW w:type="dxa" w:w="2268"/>
            <w:shd w:fill="0B2545"/>
            <w:tcMar>
              <w:top w:w="180" w:type="dxa"/>
              <w:start w:w="90" w:type="dxa"/>
              <w:bottom w:w="180" w:type="dxa"/>
              <w:end w:w="9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Arial" w:hAnsi="Arial" w:eastAsia="Arial"/>
                <w:b/>
                <w:color w:val="00A6C8"/>
                <w:sz w:val="20"/>
              </w:rPr>
              <w:t>IaC</w:t>
              <w:br/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Checkov</w:t>
            </w:r>
          </w:p>
        </w:tc>
        <w:tc>
          <w:tcPr>
            <w:tcW w:type="dxa" w:w="2268"/>
            <w:shd w:fill="153B5B"/>
            <w:tcMar>
              <w:top w:w="180" w:type="dxa"/>
              <w:start w:w="90" w:type="dxa"/>
              <w:bottom w:w="180" w:type="dxa"/>
              <w:end w:w="90" w:type="dxa"/>
            </w:tcMar>
          </w:tcPr>
          <w:p>
            <w:pPr>
              <w:spacing w:after="40"/>
              <w:ind w:firstLine="0"/>
              <w:jc w:val="center"/>
            </w:pPr>
            <w:r>
              <w:rPr>
                <w:rFonts w:ascii="Arial" w:hAnsi="Arial" w:eastAsia="Arial"/>
                <w:b/>
                <w:color w:val="00A6C8"/>
                <w:sz w:val="20"/>
              </w:rPr>
              <w:t>DAST</w:t>
              <w:br/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OWASP ZAP</w:t>
            </w:r>
          </w:p>
        </w:tc>
      </w:tr>
    </w:tbl>
    <w:p/>
    <w:p/>
    <w:p/>
    <w:p/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84"/>
        <w:gridCol w:w="7087"/>
      </w:tblGrid>
      <w:tr>
        <w:tc>
          <w:tcPr>
            <w:tcW w:type="dxa" w:w="4535"/>
            <w:tcMar>
              <w:top w:w="75" w:type="dxa"/>
              <w:start w:w="0" w:type="dxa"/>
              <w:bottom w:w="75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Arial"/>
                <w:b/>
                <w:color w:val="0B2545"/>
                <w:sz w:val="21"/>
              </w:rPr>
              <w:t>Disciplina</w:t>
            </w:r>
          </w:p>
        </w:tc>
        <w:tc>
          <w:tcPr>
            <w:tcW w:type="dxa" w:w="4535"/>
            <w:tcMar>
              <w:top w:w="75" w:type="dxa"/>
              <w:start w:w="0" w:type="dxa"/>
              <w:bottom w:w="75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DevSecOps preparatório E|CDE</w:t>
            </w:r>
          </w:p>
        </w:tc>
      </w:tr>
      <w:tr>
        <w:tc>
          <w:tcPr>
            <w:tcW w:type="dxa" w:w="4535"/>
            <w:tcMar>
              <w:top w:w="75" w:type="dxa"/>
              <w:start w:w="0" w:type="dxa"/>
              <w:bottom w:w="75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Arial"/>
                <w:b/>
                <w:color w:val="0B2545"/>
                <w:sz w:val="21"/>
              </w:rPr>
              <w:t>Turma e professor</w:t>
            </w:r>
          </w:p>
        </w:tc>
        <w:tc>
          <w:tcPr>
            <w:tcW w:type="dxa" w:w="4535"/>
            <w:tcMar>
              <w:top w:w="75" w:type="dxa"/>
              <w:start w:w="0" w:type="dxa"/>
              <w:bottom w:w="75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2TDCPF · Fabio Pires</w:t>
            </w:r>
          </w:p>
        </w:tc>
      </w:tr>
      <w:tr>
        <w:tc>
          <w:tcPr>
            <w:tcW w:type="dxa" w:w="4535"/>
            <w:tcMar>
              <w:top w:w="75" w:type="dxa"/>
              <w:start w:w="0" w:type="dxa"/>
              <w:bottom w:w="75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Arial"/>
                <w:b/>
                <w:color w:val="0B2545"/>
                <w:sz w:val="21"/>
              </w:rPr>
              <w:t>Líder técnico</w:t>
            </w:r>
          </w:p>
        </w:tc>
        <w:tc>
          <w:tcPr>
            <w:tcW w:type="dxa" w:w="4535"/>
            <w:tcMar>
              <w:top w:w="75" w:type="dxa"/>
              <w:start w:w="0" w:type="dxa"/>
              <w:bottom w:w="75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Tiago Louzã</w:t>
            </w:r>
          </w:p>
        </w:tc>
      </w:tr>
      <w:tr>
        <w:tc>
          <w:tcPr>
            <w:tcW w:type="dxa" w:w="4535"/>
            <w:tcMar>
              <w:top w:w="75" w:type="dxa"/>
              <w:start w:w="0" w:type="dxa"/>
              <w:bottom w:w="75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Arial"/>
                <w:b/>
                <w:color w:val="0B2545"/>
                <w:sz w:val="21"/>
              </w:rPr>
              <w:t>Integrantes</w:t>
            </w:r>
          </w:p>
        </w:tc>
        <w:tc>
          <w:tcPr>
            <w:tcW w:type="dxa" w:w="4535"/>
            <w:tcMar>
              <w:top w:w="75" w:type="dxa"/>
              <w:start w:w="0" w:type="dxa"/>
              <w:bottom w:w="75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Leando de Souza Silva · Luiz Fernando · Fabricio de Freitas Evangelista · Erik Gunnar</w:t>
            </w:r>
          </w:p>
        </w:tc>
      </w:tr>
      <w:tr>
        <w:tc>
          <w:tcPr>
            <w:tcW w:type="dxa" w:w="4535"/>
            <w:tcMar>
              <w:top w:w="75" w:type="dxa"/>
              <w:start w:w="0" w:type="dxa"/>
              <w:bottom w:w="75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Arial"/>
                <w:b/>
                <w:color w:val="0B2545"/>
                <w:sz w:val="21"/>
              </w:rPr>
              <w:t>Local e ano</w:t>
            </w:r>
          </w:p>
        </w:tc>
        <w:tc>
          <w:tcPr>
            <w:tcW w:type="dxa" w:w="4535"/>
            <w:tcMar>
              <w:top w:w="75" w:type="dxa"/>
              <w:start w:w="0" w:type="dxa"/>
              <w:bottom w:w="75" w:type="dxa"/>
              <w:end w:w="100" w:type="dxa"/>
            </w:tcMar>
          </w:tcPr>
          <w:p>
            <w:pPr>
              <w:spacing w:after="0"/>
              <w:ind w:firstLine="0"/>
            </w:pPr>
            <w:r>
              <w:rPr>
                <w:rFonts w:ascii="Arial" w:hAnsi="Arial" w:eastAsia="Arial"/>
                <w:b w:val="0"/>
                <w:color w:val="000000"/>
                <w:sz w:val="21"/>
              </w:rPr>
              <w:t>São Paulo 2026</w:t>
            </w:r>
          </w:p>
        </w:tc>
      </w:tr>
    </w:tbl>
    <w:p>
      <w:r>
        <w:br w:type="page"/>
      </w:r>
    </w:p>
    <w:p>
      <w:pPr>
        <w:spacing w:after="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DADOS DO TRABALHO</w:t>
      </w:r>
    </w:p>
    <w:p>
      <w:pPr>
        <w:pStyle w:val="Heading1"/>
        <w:ind w:firstLine="0"/>
        <w:keepNext/>
        <w:keepLines/>
      </w:pPr>
      <w:r>
        <w:t>Identificação do trabalho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21"/>
        <w:gridCol w:w="6350"/>
      </w:tblGrid>
      <w:tr>
        <w:trPr>
          <w:tblHeader w:val="true"/>
        </w:trPr>
        <w:tc>
          <w:tcPr>
            <w:tcW w:type="dxa" w:w="2721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350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Informação</w:t>
            </w:r>
          </w:p>
        </w:tc>
      </w:tr>
      <w:tr>
        <w:tc>
          <w:tcPr>
            <w:tcW w:type="dxa" w:w="272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Tema</w:t>
            </w:r>
          </w:p>
        </w:tc>
        <w:tc>
          <w:tcPr>
            <w:tcW w:type="dxa" w:w="635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Ferramentas open source de SAST, SCA, IaC Security e DAST</w:t>
            </w:r>
          </w:p>
        </w:tc>
      </w:tr>
      <w:tr>
        <w:tc>
          <w:tcPr>
            <w:tcW w:type="dxa" w:w="272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Ferramentas do Grupo 4</w:t>
            </w:r>
          </w:p>
        </w:tc>
        <w:tc>
          <w:tcPr>
            <w:tcW w:type="dxa" w:w="6350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Semgrep, OWASP Dependency-Check, Checkov e OWASP ZAP</w:t>
            </w:r>
          </w:p>
        </w:tc>
      </w:tr>
      <w:tr>
        <w:tc>
          <w:tcPr>
            <w:tcW w:type="dxa" w:w="272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Alvo autorizado</w:t>
            </w:r>
          </w:p>
        </w:tc>
        <w:tc>
          <w:tcPr>
            <w:tcW w:type="dxa" w:w="635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OWASP Juice Shop v20.2.0 em ambiente Docker local</w:t>
            </w:r>
          </w:p>
        </w:tc>
      </w:tr>
      <w:tr>
        <w:tc>
          <w:tcPr>
            <w:tcW w:type="dxa" w:w="272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Laboratório principal</w:t>
            </w:r>
          </w:p>
        </w:tc>
        <w:tc>
          <w:tcPr>
            <w:tcW w:type="dxa" w:w="6350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Semgrep e OWASP ZAP, categorias diferentes</w:t>
            </w:r>
          </w:p>
        </w:tc>
      </w:tr>
      <w:tr>
        <w:tc>
          <w:tcPr>
            <w:tcW w:type="dxa" w:w="272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Execuções complementares</w:t>
            </w:r>
          </w:p>
        </w:tc>
        <w:tc>
          <w:tcPr>
            <w:tcW w:type="dxa" w:w="635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Dependency-Check e Checkov com relatórios versionados</w:t>
            </w:r>
          </w:p>
        </w:tc>
      </w:tr>
      <w:tr>
        <w:tc>
          <w:tcPr>
            <w:tcW w:type="dxa" w:w="272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Política de gate</w:t>
            </w:r>
          </w:p>
        </w:tc>
        <w:tc>
          <w:tcPr>
            <w:tcW w:type="dxa" w:w="6350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Bloqueio de achados HIGH e CRITICAL</w:t>
            </w:r>
          </w:p>
        </w:tc>
      </w:tr>
      <w:tr>
        <w:tc>
          <w:tcPr>
            <w:tcW w:type="dxa" w:w="272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Data da validação</w:t>
            </w:r>
          </w:p>
        </w:tc>
        <w:tc>
          <w:tcPr>
            <w:tcW w:type="dxa" w:w="635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15 de setembro de 2026</w:t>
            </w:r>
          </w:p>
        </w:tc>
      </w:tr>
    </w:tbl>
    <w:p>
      <w:pPr>
        <w:spacing w:after="40"/>
        <w:ind w:firstLine="0"/>
      </w:pPr>
    </w:p>
    <w:p>
      <w:pPr>
        <w:pStyle w:val="Heading2"/>
        <w:ind w:firstLine="0"/>
        <w:keepNext/>
        <w:keepLines/>
      </w:pPr>
      <w:r>
        <w:t>Síntese das execuções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71"/>
        <w:gridCol w:w="2041"/>
        <w:gridCol w:w="1871"/>
        <w:gridCol w:w="3175"/>
      </w:tblGrid>
      <w:tr>
        <w:tc>
          <w:tcPr>
            <w:tcW w:type="dxa" w:w="2268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Ferramenta</w:t>
            </w:r>
          </w:p>
        </w:tc>
        <w:tc>
          <w:tcPr>
            <w:tcW w:type="dxa" w:w="2268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2268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2268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Resultado principal</w:t>
            </w:r>
          </w:p>
        </w:tc>
      </w:tr>
      <w:tr>
        <w:tc>
          <w:tcPr>
            <w:tcW w:type="dxa" w:w="187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Semgrep</w:t>
            </w:r>
          </w:p>
        </w:tc>
        <w:tc>
          <w:tcPr>
            <w:tcW w:type="dxa" w:w="204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SAST</w:t>
            </w:r>
          </w:p>
        </w:tc>
        <w:tc>
          <w:tcPr>
            <w:tcW w:type="dxa" w:w="187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2E7D32"/>
                <w:sz w:val="18"/>
              </w:rPr>
              <w:t>Concluído</w:t>
            </w:r>
          </w:p>
        </w:tc>
        <w:tc>
          <w:tcPr>
            <w:tcW w:type="dxa" w:w="317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69 achados no scan geral; red com 1 HIGH e green sem achados</w:t>
            </w:r>
          </w:p>
        </w:tc>
      </w:tr>
      <w:tr>
        <w:tc>
          <w:tcPr>
            <w:tcW w:type="dxa" w:w="187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Dependency-Check</w:t>
            </w:r>
          </w:p>
        </w:tc>
        <w:tc>
          <w:tcPr>
            <w:tcW w:type="dxa" w:w="204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SCA</w:t>
            </w:r>
          </w:p>
        </w:tc>
        <w:tc>
          <w:tcPr>
            <w:tcW w:type="dxa" w:w="187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B26A00"/>
                <w:sz w:val="18"/>
              </w:rPr>
              <w:t>Inconclusivo</w:t>
            </w:r>
          </w:p>
        </w:tc>
        <w:tc>
          <w:tcPr>
            <w:tcW w:type="dxa" w:w="317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15 dependências, 0 CVEs e cobertura reduzida por ausência de lockfiles</w:t>
            </w:r>
          </w:p>
        </w:tc>
      </w:tr>
      <w:tr>
        <w:tc>
          <w:tcPr>
            <w:tcW w:type="dxa" w:w="187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Checkov</w:t>
            </w:r>
          </w:p>
        </w:tc>
        <w:tc>
          <w:tcPr>
            <w:tcW w:type="dxa" w:w="204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IaC</w:t>
            </w:r>
          </w:p>
        </w:tc>
        <w:tc>
          <w:tcPr>
            <w:tcW w:type="dxa" w:w="187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2E7D32"/>
                <w:sz w:val="18"/>
              </w:rPr>
              <w:t>Concluído</w:t>
            </w:r>
          </w:p>
        </w:tc>
        <w:tc>
          <w:tcPr>
            <w:tcW w:type="dxa" w:w="317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42 controles aprovados e 24 reprovados no Terraform oficial</w:t>
            </w:r>
          </w:p>
        </w:tc>
      </w:tr>
      <w:tr>
        <w:tc>
          <w:tcPr>
            <w:tcW w:type="dxa" w:w="187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OWASP ZAP</w:t>
            </w:r>
          </w:p>
        </w:tc>
        <w:tc>
          <w:tcPr>
            <w:tcW w:type="dxa" w:w="204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DAST</w:t>
            </w:r>
          </w:p>
        </w:tc>
        <w:tc>
          <w:tcPr>
            <w:tcW w:type="dxa" w:w="187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2E7D32"/>
                <w:sz w:val="18"/>
              </w:rPr>
              <w:t>Concluído</w:t>
            </w:r>
          </w:p>
        </w:tc>
        <w:tc>
          <w:tcPr>
            <w:tcW w:type="dxa" w:w="317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line="252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11 tipos de alerta, com 1 HIGH; gate bloqueado</w:t>
            </w:r>
          </w:p>
        </w:tc>
      </w:tr>
    </w:tbl>
    <w:p/>
    <w:p>
      <w:pPr>
        <w:spacing w:after="120"/>
      </w:pPr>
      <w:r>
        <w:rPr>
          <w:rFonts w:ascii="Arial" w:hAnsi="Arial" w:eastAsia="Arial"/>
          <w:color w:val="000000"/>
          <w:sz w:val="22"/>
        </w:rPr>
        <w:t>Todos os resultados foram mantidos em formatos legíveis e processáveis por máquina. Os relatórios JSON, SARIF e HTML permitem reproduzir a análise, revisar a classificação e demonstrar o gate mesmo quando o ambiente ao vivo não estiver disponível.</w:t>
      </w:r>
    </w:p>
    <w:p>
      <w:r>
        <w:br w:type="page"/>
      </w:r>
    </w:p>
    <w:p>
      <w:pPr>
        <w:spacing w:after="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VISÃO EXECUTIVA</w:t>
      </w:r>
    </w:p>
    <w:p>
      <w:pPr>
        <w:pStyle w:val="Heading1"/>
        <w:ind w:firstLine="0"/>
        <w:keepNext/>
        <w:keepLines/>
      </w:pPr>
      <w:r>
        <w:t>Resumo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Este relatório compara Semgrep, OWASP Dependency-Check, Checkov e OWASP ZAP no pipeline DevSecOps e registra a execução das quatro ferramentas atribuídas ao Grupo 4. O alvo foi o OWASP Juice Shop v20.2.0, aplicação deliberadamente vulnerável e autorizada para treinamento. O ambiente foi isolado com Docker e os resultados foram preservados no repositório para auditoria e apresentação.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Semgrep foi executado primeiro com a configuração geral da comunidade, sem regra própria. O scan percorreu 1.027 arquivos, aplicou 408 regras e reportou 69 achados. A análise encontrou SQL Injection nas rotas de login e busca. Para a demonstração red e green, uma regra local mais estreita foi mantida apenas para garantir tempo e resultado determinísticos: o código vulnerável produziu um HIGH, a consulta foi parametrizada com replacements do Sequelize e o mesmo teste passou sem achados.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Dependency-Check terminou em sete segundos, identificou 15 dependências e não reportou CVEs. Esse zero não foi tratado como evidência de segurança, pois o projeto analisado não continha os lockfiles nem node_modules necessários para um inventário completo, e quatro arquivos de teste geraram exceções. O Checkov, por sua vez, aplicou políticas nativas ao Terraform oficial do Juice Shop: 42 verificações passaram e 24 falharam, com problemas de exposição pública, HTTP sem redirecionamento para HTTPS, ausência de logs e falta de WAF.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ZAP executou spiders e active scan apenas contra o contêiner local. Foram descobertas 234 URLs pelo AJAX spider e registrados 11 tipos de alerta em 39 instâncias. A SQL Injection HIGH foi correlacionada com a linha de código identificada pelo Semgrep. O gate bloqueou os cenários vulneráveis e aprovou o recorte SAST corrigido. O resultado confirma que SAST, SCA, IaC Security e DAST respondem a perguntas diferentes e precisam coexistir, com critérios de cobertura e triagem explícitos.</w:t>
      </w:r>
    </w:p>
    <w:p>
      <w:pPr>
        <w:spacing w:after="120"/>
        <w:ind w:firstLine="0"/>
      </w:pPr>
      <w:r>
        <w:rPr>
          <w:rFonts w:ascii="Arial" w:hAnsi="Arial" w:eastAsia="Arial"/>
          <w:color w:val="000000"/>
          <w:sz w:val="22"/>
        </w:rPr>
        <w:t>Palavras-chave: DevSecOps; SAST; SCA; IaC Security; DAST; Semgrep; Dependency-Check; Checkov; OWASP ZAP; quality gate.</w:t>
      </w:r>
    </w:p>
    <w:p>
      <w:r>
        <w:br w:type="page"/>
      </w:r>
    </w:p>
    <w:p>
      <w:pPr>
        <w:spacing w:after="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NAVEGAÇÃO</w:t>
      </w:r>
    </w:p>
    <w:p>
      <w:pPr>
        <w:pStyle w:val="Heading1"/>
        <w:ind w:firstLine="0"/>
        <w:keepNext/>
        <w:keepLines/>
      </w:pPr>
      <w:r>
        <w:t>Sumário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54"/>
        <w:gridCol w:w="1417"/>
      </w:tblGrid>
      <w:tr>
        <w:trPr>
          <w:tblHeader w:val="true"/>
        </w:trPr>
        <w:tc>
          <w:tcPr>
            <w:tcW w:type="dxa" w:w="7654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Seção</w:t>
            </w:r>
          </w:p>
        </w:tc>
        <w:tc>
          <w:tcPr>
            <w:tcW w:type="dxa" w:w="1417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Página</w:t>
            </w:r>
          </w:p>
        </w:tc>
      </w:tr>
      <w:tr>
        <w:tc>
          <w:tcPr>
            <w:tcW w:type="dxa" w:w="765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1 Introdução</w:t>
            </w:r>
          </w:p>
        </w:tc>
        <w:tc>
          <w:tcPr>
            <w:tcW w:type="dxa" w:w="141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5</w:t>
            </w:r>
          </w:p>
        </w:tc>
      </w:tr>
      <w:tr>
        <w:tc>
          <w:tcPr>
            <w:tcW w:type="dxa" w:w="765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2 Fundamentos e posicionamento no pipeline</w:t>
            </w:r>
          </w:p>
        </w:tc>
        <w:tc>
          <w:tcPr>
            <w:tcW w:type="dxa" w:w="141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6</w:t>
            </w:r>
          </w:p>
        </w:tc>
      </w:tr>
      <w:tr>
        <w:tc>
          <w:tcPr>
            <w:tcW w:type="dxa" w:w="765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3 Metodologia do laboratório</w:t>
            </w:r>
          </w:p>
        </w:tc>
        <w:tc>
          <w:tcPr>
            <w:tcW w:type="dxa" w:w="141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8</w:t>
            </w:r>
          </w:p>
        </w:tc>
      </w:tr>
      <w:tr>
        <w:tc>
          <w:tcPr>
            <w:tcW w:type="dxa" w:w="765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4 Semgrep</w:t>
            </w:r>
          </w:p>
        </w:tc>
        <w:tc>
          <w:tcPr>
            <w:tcW w:type="dxa" w:w="141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9</w:t>
            </w:r>
          </w:p>
        </w:tc>
      </w:tr>
      <w:tr>
        <w:tc>
          <w:tcPr>
            <w:tcW w:type="dxa" w:w="765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5 OWASP Dependency Check</w:t>
            </w:r>
          </w:p>
        </w:tc>
        <w:tc>
          <w:tcPr>
            <w:tcW w:type="dxa" w:w="141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14</w:t>
            </w:r>
          </w:p>
        </w:tc>
      </w:tr>
      <w:tr>
        <w:tc>
          <w:tcPr>
            <w:tcW w:type="dxa" w:w="765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6 Checkov</w:t>
            </w:r>
          </w:p>
        </w:tc>
        <w:tc>
          <w:tcPr>
            <w:tcW w:type="dxa" w:w="141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17</w:t>
            </w:r>
          </w:p>
        </w:tc>
      </w:tr>
      <w:tr>
        <w:tc>
          <w:tcPr>
            <w:tcW w:type="dxa" w:w="765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7 OWASP ZAP</w:t>
            </w:r>
          </w:p>
        </w:tc>
        <w:tc>
          <w:tcPr>
            <w:tcW w:type="dxa" w:w="141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20</w:t>
            </w:r>
          </w:p>
        </w:tc>
      </w:tr>
      <w:tr>
        <w:tc>
          <w:tcPr>
            <w:tcW w:type="dxa" w:w="765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8 Análise dos achados</w:t>
            </w:r>
          </w:p>
        </w:tc>
        <w:tc>
          <w:tcPr>
            <w:tcW w:type="dxa" w:w="141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24</w:t>
            </w:r>
          </w:p>
        </w:tc>
      </w:tr>
      <w:tr>
        <w:tc>
          <w:tcPr>
            <w:tcW w:type="dxa" w:w="765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9 Comparação e escolha do toolchain</w:t>
            </w:r>
          </w:p>
        </w:tc>
        <w:tc>
          <w:tcPr>
            <w:tcW w:type="dxa" w:w="141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26</w:t>
            </w:r>
          </w:p>
        </w:tc>
      </w:tr>
      <w:tr>
        <w:tc>
          <w:tcPr>
            <w:tcW w:type="dxa" w:w="765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10 Integração contínua e quality gate</w:t>
            </w:r>
          </w:p>
        </w:tc>
        <w:tc>
          <w:tcPr>
            <w:tcW w:type="dxa" w:w="141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27</w:t>
            </w:r>
          </w:p>
        </w:tc>
      </w:tr>
      <w:tr>
        <w:tc>
          <w:tcPr>
            <w:tcW w:type="dxa" w:w="765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11 Limitações e conclusão</w:t>
            </w:r>
          </w:p>
        </w:tc>
        <w:tc>
          <w:tcPr>
            <w:tcW w:type="dxa" w:w="141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28</w:t>
            </w:r>
          </w:p>
        </w:tc>
      </w:tr>
      <w:tr>
        <w:tc>
          <w:tcPr>
            <w:tcW w:type="dxa" w:w="765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Referências</w:t>
            </w:r>
          </w:p>
        </w:tc>
        <w:tc>
          <w:tcPr>
            <w:tcW w:type="dxa" w:w="141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30</w:t>
            </w:r>
          </w:p>
        </w:tc>
      </w:tr>
      <w:tr>
        <w:tc>
          <w:tcPr>
            <w:tcW w:type="dxa" w:w="765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Apêndices</w:t>
            </w:r>
          </w:p>
        </w:tc>
        <w:tc>
          <w:tcPr>
            <w:tcW w:type="dxa" w:w="141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31</w:t>
            </w:r>
          </w:p>
        </w:tc>
      </w:tr>
    </w:tbl>
    <w:p>
      <w:pPr>
        <w:spacing w:after="40"/>
        <w:ind w:firstLine="0"/>
      </w:pPr>
    </w:p>
    <w:p>
      <w:pPr>
        <w:spacing w:after="120"/>
        <w:ind w:firstLine="0"/>
      </w:pPr>
      <w:r>
        <w:rPr>
          <w:rFonts w:ascii="Arial" w:hAnsi="Arial" w:eastAsia="Arial"/>
          <w:color w:val="000000"/>
          <w:sz w:val="22"/>
        </w:rPr>
        <w:t>A numeração corresponde ao PDF validado. Os apêndices reúnem os comandos e o mapa completo das evidências versionadas.</w:t>
      </w:r>
    </w:p>
    <w:p>
      <w:r>
        <w:br w:type="page"/>
      </w:r>
    </w:p>
    <w:p>
      <w:pPr>
        <w:spacing w:after="80" w:before="36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ESCOPO E OBJETIVOS</w:t>
      </w:r>
    </w:p>
    <w:p>
      <w:pPr>
        <w:pStyle w:val="Heading1"/>
        <w:ind w:firstLine="0"/>
        <w:keepNext/>
        <w:keepLines/>
      </w:pPr>
      <w:r>
        <w:t>1 Introdução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DevSecOps incorpora verificações de segurança ao desenvolvimento para reduzir o intervalo entre a introdução de uma falha e sua correção. O objetivo não é acumular scanners, mas posicionar controles com entradas, saídas e responsáveis definidos. O NIST SSDF recomenda que a organização prepare pessoas e processos, proteja o software, produza componentes seguros e responda a vulnerabilidades durante todo o ciclo [1].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trabalho do Grupo 4 cobre quatro frentes complementares. O Semgrep analisa o código escrito pela equipe; o Dependency-Check procura vulnerabilidades conhecidas nas dependências; o Checkov avalia configurações de infraestrutura como código; e o ZAP interage com a aplicação em execução. As quatro ferramentas são open source, automatizáveis e capazes de produzir resultados para integração contínua, mas operam sobre evidências diferentes.</w:t>
      </w:r>
    </w:p>
    <w:p>
      <w:pPr>
        <w:pStyle w:val="Heading2"/>
        <w:ind w:firstLine="0"/>
        <w:keepNext/>
        <w:keepLines/>
      </w:pPr>
      <w:r>
        <w:t>Objetivo geral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Avaliar tecnicamente as quatro ferramentas atribuídas ao Grupo 4, executar cada uma em um alvo autorizado e demonstrar como os resultados podem interromper ou permitir a progressão de uma entrega.</w:t>
      </w:r>
    </w:p>
    <w:p>
      <w:pPr>
        <w:pStyle w:val="Heading2"/>
        <w:ind w:firstLine="0"/>
        <w:keepNext/>
        <w:keepLines/>
      </w:pPr>
      <w:r>
        <w:t>Objetivos específicos</w:t>
      </w:r>
    </w:p>
    <w:p>
      <w:pPr>
        <w:pStyle w:val="ListBullet"/>
        <w:spacing w:line="360" w:lineRule="auto" w:after="80"/>
        <w:ind w:left="369" w:hanging="198"/>
      </w:pPr>
      <w:r>
        <w:rPr>
          <w:rFonts w:ascii="Arial" w:hAnsi="Arial" w:eastAsia="Arial"/>
          <w:color w:val="000000"/>
          <w:sz w:val="22"/>
        </w:rPr>
        <w:t>Diferenciar SAST, SCA, IaC Security e DAST quanto à entrada, técnica, momento de execução e limitações.</w:t>
      </w:r>
    </w:p>
    <w:p>
      <w:pPr>
        <w:pStyle w:val="ListBullet"/>
        <w:spacing w:line="360" w:lineRule="auto" w:after="80"/>
        <w:ind w:left="369" w:hanging="198"/>
      </w:pPr>
      <w:r>
        <w:rPr>
          <w:rFonts w:ascii="Arial" w:hAnsi="Arial" w:eastAsia="Arial"/>
          <w:color w:val="000000"/>
          <w:sz w:val="22"/>
        </w:rPr>
        <w:t>Registrar identificação, manutenção, licença, comunidade, instalação, formatos e integrações de cada ferramenta.</w:t>
      </w:r>
    </w:p>
    <w:p>
      <w:pPr>
        <w:pStyle w:val="ListBullet"/>
        <w:spacing w:line="360" w:lineRule="auto" w:after="80"/>
        <w:ind w:left="369" w:hanging="198"/>
      </w:pPr>
      <w:r>
        <w:rPr>
          <w:rFonts w:ascii="Arial" w:hAnsi="Arial" w:eastAsia="Arial"/>
          <w:color w:val="000000"/>
          <w:sz w:val="22"/>
        </w:rPr>
        <w:t>Executar as quatro ferramentas e interpretar resultados, inclusive quando a cobertura for insuficiente.</w:t>
      </w:r>
    </w:p>
    <w:p>
      <w:pPr>
        <w:pStyle w:val="ListBullet"/>
        <w:spacing w:line="360" w:lineRule="auto" w:after="80"/>
        <w:ind w:left="369" w:hanging="198"/>
      </w:pPr>
      <w:r>
        <w:rPr>
          <w:rFonts w:ascii="Arial" w:hAnsi="Arial" w:eastAsia="Arial"/>
          <w:color w:val="000000"/>
          <w:sz w:val="22"/>
        </w:rPr>
        <w:t>Demonstrar build red e green com Semgrep e um bloqueio DAST com OWASP ZAP.</w:t>
      </w:r>
    </w:p>
    <w:p>
      <w:pPr>
        <w:pStyle w:val="ListBullet"/>
        <w:spacing w:line="360" w:lineRule="auto" w:after="80"/>
        <w:ind w:left="369" w:hanging="198"/>
      </w:pPr>
      <w:r>
        <w:rPr>
          <w:rFonts w:ascii="Arial" w:hAnsi="Arial" w:eastAsia="Arial"/>
          <w:color w:val="000000"/>
          <w:sz w:val="22"/>
        </w:rPr>
        <w:t>Classificar três achados como verdadeiro positivo ou falso positivo e propor correções verificáveis.</w:t>
      </w:r>
    </w:p>
    <w:p>
      <w:r>
        <w:br w:type="page"/>
      </w:r>
    </w:p>
    <w:p>
      <w:pPr>
        <w:pStyle w:val="Heading2"/>
        <w:ind w:firstLine="0"/>
        <w:keepNext/>
        <w:keepLines/>
      </w:pPr>
      <w:r>
        <w:t>Questão de pesquisa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Como um conjunto de ferramentas open source pode ampliar a cobertura de segurança sem transformar a pipeline em uma coleção de alertas sem contexto? A resposta adotada é combinar controles em camadas, preservar os relatórios originais e aplicar gates apenas quando a equipe consegue explicar o limiar, a cobertura e o tratamento de exceções.</w:t>
      </w:r>
    </w:p>
    <w:p>
      <w:pPr>
        <w:spacing w:after="80" w:before="36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SAST SCA IAC E DAST</w:t>
      </w:r>
    </w:p>
    <w:p>
      <w:pPr>
        <w:pStyle w:val="Heading1"/>
        <w:ind w:firstLine="0"/>
        <w:keepNext/>
        <w:keepLines/>
      </w:pPr>
      <w:r>
        <w:t>2 Fundamentos e posicionamento no pipeline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As categorias não competem pelo mesmo problema. SAST observa o código próprio antes da execução. SCA constrói um inventário de componentes de terceiros e correlaciona versões com vulnerabilidades publicadas. IaC Security interpreta arquivos declarativos que criarão recursos. DAST envia requisições a um sistema ativo e avalia respostas. A diferença entre SAST e SCA é especialmente importante: uma falha no código da equipe requer alteração de implementação; uma vulnerabilidade em dependência exige atualizar, substituir, remover ou mitigar um componente.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247"/>
        <w:gridCol w:w="3005"/>
        <w:gridCol w:w="2041"/>
        <w:gridCol w:w="1247"/>
        <w:gridCol w:w="1531"/>
      </w:tblGrid>
      <w:tr>
        <w:trPr>
          <w:tblHeader w:val="true"/>
        </w:trPr>
        <w:tc>
          <w:tcPr>
            <w:tcW w:type="dxa" w:w="1247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3005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Pergunta respondida</w:t>
            </w:r>
          </w:p>
        </w:tc>
        <w:tc>
          <w:tcPr>
            <w:tcW w:type="dxa" w:w="2041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Entrada principal</w:t>
            </w:r>
          </w:p>
        </w:tc>
        <w:tc>
          <w:tcPr>
            <w:tcW w:type="dxa" w:w="1247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Aplicação ativa</w:t>
            </w:r>
          </w:p>
        </w:tc>
        <w:tc>
          <w:tcPr>
            <w:tcW w:type="dxa" w:w="1531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Estágio</w:t>
            </w:r>
          </w:p>
        </w:tc>
      </w:tr>
      <w:tr>
        <w:tc>
          <w:tcPr>
            <w:tcW w:type="dxa" w:w="124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SAST</w:t>
            </w:r>
          </w:p>
        </w:tc>
        <w:tc>
          <w:tcPr>
            <w:tcW w:type="dxa" w:w="300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Existe padrão inseguro no código próprio?</w:t>
            </w:r>
          </w:p>
        </w:tc>
        <w:tc>
          <w:tcPr>
            <w:tcW w:type="dxa" w:w="204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Código-fonte</w:t>
            </w:r>
          </w:p>
        </w:tc>
        <w:tc>
          <w:tcPr>
            <w:tcW w:type="dxa" w:w="124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Não</w:t>
            </w:r>
          </w:p>
        </w:tc>
        <w:tc>
          <w:tcPr>
            <w:tcW w:type="dxa" w:w="153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Code e Build</w:t>
            </w:r>
          </w:p>
        </w:tc>
      </w:tr>
      <w:tr>
        <w:tc>
          <w:tcPr>
            <w:tcW w:type="dxa" w:w="124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SCA</w:t>
            </w:r>
          </w:p>
        </w:tc>
        <w:tc>
          <w:tcPr>
            <w:tcW w:type="dxa" w:w="300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Há componente conhecido como vulnerável?</w:t>
            </w:r>
          </w:p>
        </w:tc>
        <w:tc>
          <w:tcPr>
            <w:tcW w:type="dxa" w:w="204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Manifesto, lockfile e SBOM</w:t>
            </w:r>
          </w:p>
        </w:tc>
        <w:tc>
          <w:tcPr>
            <w:tcW w:type="dxa" w:w="124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Não</w:t>
            </w:r>
          </w:p>
        </w:tc>
        <w:tc>
          <w:tcPr>
            <w:tcW w:type="dxa" w:w="153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Build</w:t>
            </w:r>
          </w:p>
        </w:tc>
      </w:tr>
      <w:tr>
        <w:tc>
          <w:tcPr>
            <w:tcW w:type="dxa" w:w="124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IaC</w:t>
            </w:r>
          </w:p>
        </w:tc>
        <w:tc>
          <w:tcPr>
            <w:tcW w:type="dxa" w:w="300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 configuração provisionará recurso inseguro?</w:t>
            </w:r>
          </w:p>
        </w:tc>
        <w:tc>
          <w:tcPr>
            <w:tcW w:type="dxa" w:w="204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Terraform e manifestos</w:t>
            </w:r>
          </w:p>
        </w:tc>
        <w:tc>
          <w:tcPr>
            <w:tcW w:type="dxa" w:w="124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Não</w:t>
            </w:r>
          </w:p>
        </w:tc>
        <w:tc>
          <w:tcPr>
            <w:tcW w:type="dxa" w:w="153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Code, Build e Deploy</w:t>
            </w:r>
          </w:p>
        </w:tc>
      </w:tr>
      <w:tr>
        <w:tc>
          <w:tcPr>
            <w:tcW w:type="dxa" w:w="124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DAST</w:t>
            </w:r>
          </w:p>
        </w:tc>
        <w:tc>
          <w:tcPr>
            <w:tcW w:type="dxa" w:w="300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O comportamento expõe falha acessível?</w:t>
            </w:r>
          </w:p>
        </w:tc>
        <w:tc>
          <w:tcPr>
            <w:tcW w:type="dxa" w:w="204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Aplicação em execução</w:t>
            </w:r>
          </w:p>
        </w:tc>
        <w:tc>
          <w:tcPr>
            <w:tcW w:type="dxa" w:w="124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Sim</w:t>
            </w:r>
          </w:p>
        </w:tc>
        <w:tc>
          <w:tcPr>
            <w:tcW w:type="dxa" w:w="153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Test e Release</w:t>
            </w:r>
          </w:p>
        </w:tc>
      </w:tr>
    </w:tbl>
    <w:p>
      <w:pPr>
        <w:spacing w:after="40"/>
        <w:ind w:firstLine="0"/>
      </w:pPr>
    </w:p>
    <w:p>
      <w:pPr>
        <w:pStyle w:val="Heading2"/>
        <w:ind w:firstLine="0"/>
        <w:keepNext/>
        <w:keepLines/>
      </w:pPr>
      <w:r>
        <w:t>Shift left sem eliminar o DAST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Shift left antecipa feedback. Semgrep, Dependency-Check e Checkov podem rodar antes de um deploy, quando a correção tende a ser mais simples. Essa antecipação não substitui o ZAP. Um scanner estático não observa cabeçalhos emitidos pelo servidor, composição real de rotas, autenticação de sessão, proxies, variáveis de ambiente ou comportamento integrado. O DAST verifica o que ficou acessível após a montagem do sistema [2].</w:t>
      </w:r>
    </w:p>
    <w:p>
      <w:pPr>
        <w:pStyle w:val="Heading2"/>
        <w:ind w:firstLine="0"/>
        <w:keepNext/>
        <w:keepLines/>
      </w:pPr>
      <w:r>
        <w:t>Cobertura em camadas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Uma pipeline eficiente separa verificações rápidas de verificações profundas. Regras locais e políticas de IaC podem executar em cada pull request. SCA completo exige inventário e atualização de bases. DAST precisa de um ambiente implantado e de tempo para descoberta. O gate deve considerar essas diferenças para não interpretar ausência de achados como cobertura total.</w:t>
      </w:r>
    </w:p>
    <w:p>
      <w:pPr>
        <w:spacing w:after="80" w:before="2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INVENTÁRIO E RASTREABILIDADE</w:t>
      </w:r>
    </w:p>
    <w:p>
      <w:pPr>
        <w:pStyle w:val="Heading2"/>
        <w:ind w:firstLine="0"/>
        <w:keepNext/>
        <w:keepLines/>
      </w:pPr>
      <w:r>
        <w:t>SBOM e relação com SCA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Uma Software Bill of Materials é uma lista estruturada de componentes, versões, fornecedores, identificadores e relações. Ela não é um scanner por si só. A SBOM fornece o inventário que permite perguntar onde um componente vulnerável aparece e quais produtos precisam de resposta. A CISA destaca elementos mínimos como autor do documento, fornecedor, nome, versão, identificadores, relações e data [3].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Dependency-Check pode complementar esse inventário ao tentar identificar componentes e associá-los a CPEs e CVEs. O CycloneDX fornece formatos padronizados para troca de SBOM [21]. A qualidade do SCA depende da qualidade do inventário: sem lockfile, a versão resolvida pode ser desconhecida; sem dependências instaladas, analisadores de ecossistema podem perder componentes; sem atualização da base, uma vulnerabilidade recente pode não aparecer.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01"/>
        <w:gridCol w:w="2665"/>
        <w:gridCol w:w="2268"/>
        <w:gridCol w:w="2438"/>
      </w:tblGrid>
      <w:tr>
        <w:trPr>
          <w:tblHeader w:val="true"/>
        </w:trPr>
        <w:tc>
          <w:tcPr>
            <w:tcW w:type="dxa" w:w="1701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Artefato</w:t>
            </w:r>
          </w:p>
        </w:tc>
        <w:tc>
          <w:tcPr>
            <w:tcW w:type="dxa" w:w="2665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O que registra</w:t>
            </w:r>
          </w:p>
        </w:tc>
        <w:tc>
          <w:tcPr>
            <w:tcW w:type="dxa" w:w="2268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Uso no pipeline</w:t>
            </w:r>
          </w:p>
        </w:tc>
        <w:tc>
          <w:tcPr>
            <w:tcW w:type="dxa" w:w="2438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Limitação</w:t>
            </w:r>
          </w:p>
        </w:tc>
      </w:tr>
      <w:tr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Manifesto</w:t>
            </w:r>
          </w:p>
        </w:tc>
        <w:tc>
          <w:tcPr>
            <w:tcW w:type="dxa" w:w="266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Dependências declaradas</w:t>
            </w:r>
          </w:p>
        </w:tc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Instalação e resolução</w:t>
            </w:r>
          </w:p>
        </w:tc>
        <w:tc>
          <w:tcPr>
            <w:tcW w:type="dxa" w:w="243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Pode permitir intervalos de versão</w:t>
            </w:r>
          </w:p>
        </w:tc>
      </w:tr>
      <w:tr>
        <w:tc>
          <w:tcPr>
            <w:tcW w:type="dxa" w:w="170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Lockfile</w:t>
            </w:r>
          </w:p>
        </w:tc>
        <w:tc>
          <w:tcPr>
            <w:tcW w:type="dxa" w:w="266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Versões efetivamente resolvidas</w:t>
            </w:r>
          </w:p>
        </w:tc>
        <w:tc>
          <w:tcPr>
            <w:tcW w:type="dxa" w:w="226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Reprodutibilidade e SCA</w:t>
            </w:r>
          </w:p>
        </w:tc>
        <w:tc>
          <w:tcPr>
            <w:tcW w:type="dxa" w:w="243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Precisa estar atualizado</w:t>
            </w:r>
          </w:p>
        </w:tc>
      </w:tr>
      <w:tr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SBOM</w:t>
            </w:r>
          </w:p>
        </w:tc>
        <w:tc>
          <w:tcPr>
            <w:tcW w:type="dxa" w:w="266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Componentes e relações</w:t>
            </w:r>
          </w:p>
        </w:tc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Inventário e resposta</w:t>
            </w:r>
          </w:p>
        </w:tc>
        <w:tc>
          <w:tcPr>
            <w:tcW w:type="dxa" w:w="243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Não prova explorabilidade</w:t>
            </w:r>
          </w:p>
        </w:tc>
      </w:tr>
      <w:tr>
        <w:tc>
          <w:tcPr>
            <w:tcW w:type="dxa" w:w="170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Relatório SCA</w:t>
            </w:r>
          </w:p>
        </w:tc>
        <w:tc>
          <w:tcPr>
            <w:tcW w:type="dxa" w:w="266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Correspondências com vulnerabilidades</w:t>
            </w:r>
          </w:p>
        </w:tc>
        <w:tc>
          <w:tcPr>
            <w:tcW w:type="dxa" w:w="226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Triagem e gate</w:t>
            </w:r>
          </w:p>
        </w:tc>
        <w:tc>
          <w:tcPr>
            <w:tcW w:type="dxa" w:w="243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Pode ter falsos positivos e negativos</w:t>
            </w:r>
          </w:p>
        </w:tc>
      </w:tr>
    </w:tbl>
    <w:p>
      <w:pPr>
        <w:spacing w:after="40"/>
        <w:ind w:firstLine="0"/>
      </w:pPr>
    </w:p>
    <w:p>
      <w:pPr>
        <w:pStyle w:val="Heading2"/>
        <w:ind w:firstLine="0"/>
        <w:keepNext/>
        <w:keepLines/>
      </w:pPr>
      <w:r>
        <w:t>Critério para gates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gate deste laboratório usa severidade HIGH como limiar por ser simples de demonstrar. Em produção, a decisão precisa acrescentar confiança, alcance, exposição, existência de correção e validade da exceção. O resultado original permanece arquivado; a normalização serve para decidir a pipeline, não para apagar detalhes do scanner.</w:t>
      </w:r>
    </w:p>
    <w:p>
      <w:pPr>
        <w:spacing w:after="80" w:before="36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AMBIENTE E CRITÉRIOS</w:t>
      </w:r>
    </w:p>
    <w:p>
      <w:pPr>
        <w:pStyle w:val="Heading1"/>
        <w:ind w:firstLine="0"/>
        <w:keepNext/>
        <w:keepLines/>
      </w:pPr>
      <w:r>
        <w:t>3 Metodologia do laboratório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laboratório foi executado em Windows com Docker Desktop. O alvo foi a release v20.2.0 do OWASP Juice Shop, autorizada pelo enunciado. O código oficial foi mantido em target/juice-shop. Uma cópia pontual de routes/search.ts foi criada em target/juice-shop-fixed para demonstrar a correção sem alterar a referência vulnerável usada pelo ZAP.</w:t>
      </w:r>
    </w:p>
    <w:p>
      <w:pPr>
        <w:pStyle w:val="Heading2"/>
        <w:ind w:firstLine="0"/>
        <w:keepNext/>
        <w:keepLines/>
      </w:pPr>
      <w:r>
        <w:t>Escopo ético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Todos os testes ativos apontaram para o contêiner local do Juice Shop. O serviço foi publicado apenas em 127.0.0.1:3000 e o ZAP acessou o alvo pela rede interna do Compose. Nenhum domínio público, sistema de terceiros ou ambiente corporativo foi varrido. Essa restrição é parte do método, não apenas uma precaução operacional.</w:t>
      </w:r>
    </w:p>
    <w:p>
      <w:pPr>
        <w:pStyle w:val="Heading2"/>
        <w:ind w:firstLine="0"/>
        <w:keepNext/>
        <w:keepLines/>
      </w:pPr>
      <w:r>
        <w:t>Sequência de execução</w:t>
      </w:r>
    </w:p>
    <w:p>
      <w:pPr>
        <w:pStyle w:val="ListNumber"/>
        <w:spacing w:line="360" w:lineRule="auto" w:after="80"/>
        <w:ind w:left="454" w:hanging="227"/>
      </w:pPr>
      <w:r>
        <w:rPr>
          <w:rFonts w:ascii="Arial" w:hAnsi="Arial" w:eastAsia="Arial"/>
          <w:color w:val="000000"/>
          <w:sz w:val="22"/>
        </w:rPr>
        <w:t>Executar Semgrep com --config auto sobre o repositório completo e preservar JSON e log.</w:t>
      </w:r>
    </w:p>
    <w:p>
      <w:pPr>
        <w:pStyle w:val="ListNumber"/>
        <w:spacing w:line="360" w:lineRule="auto" w:after="80"/>
        <w:ind w:left="454" w:hanging="227"/>
      </w:pPr>
      <w:r>
        <w:rPr>
          <w:rFonts w:ascii="Arial" w:hAnsi="Arial" w:eastAsia="Arial"/>
          <w:color w:val="000000"/>
          <w:sz w:val="22"/>
        </w:rPr>
        <w:t>Executar o cenário SAST red no arquivo vulnerável e confirmar que o gate bloqueia o HIGH.</w:t>
      </w:r>
    </w:p>
    <w:p>
      <w:pPr>
        <w:pStyle w:val="ListNumber"/>
        <w:spacing w:line="360" w:lineRule="auto" w:after="80"/>
        <w:ind w:left="454" w:hanging="227"/>
      </w:pPr>
      <w:r>
        <w:rPr>
          <w:rFonts w:ascii="Arial" w:hAnsi="Arial" w:eastAsia="Arial"/>
          <w:color w:val="000000"/>
          <w:sz w:val="22"/>
        </w:rPr>
        <w:t>Aplicar a consulta parametrizada, repetir o scan e confirmar o cenário green.</w:t>
      </w:r>
    </w:p>
    <w:p>
      <w:pPr>
        <w:pStyle w:val="ListNumber"/>
        <w:spacing w:line="360" w:lineRule="auto" w:after="80"/>
        <w:ind w:left="454" w:hanging="227"/>
      </w:pPr>
      <w:r>
        <w:rPr>
          <w:rFonts w:ascii="Arial" w:hAnsi="Arial" w:eastAsia="Arial"/>
          <w:color w:val="000000"/>
          <w:sz w:val="22"/>
        </w:rPr>
        <w:t>Executar Dependency-Check e registrar vulnerabilidades, exceções e limitações do inventário.</w:t>
      </w:r>
    </w:p>
    <w:p>
      <w:pPr>
        <w:pStyle w:val="ListNumber"/>
        <w:spacing w:line="360" w:lineRule="auto" w:after="80"/>
        <w:ind w:left="454" w:hanging="227"/>
      </w:pPr>
      <w:r>
        <w:rPr>
          <w:rFonts w:ascii="Arial" w:hAnsi="Arial" w:eastAsia="Arial"/>
          <w:color w:val="000000"/>
          <w:sz w:val="22"/>
        </w:rPr>
        <w:t>Executar Checkov sobre o Terraform oficial com políticas nativas.</w:t>
      </w:r>
    </w:p>
    <w:p>
      <w:pPr>
        <w:pStyle w:val="ListNumber"/>
        <w:spacing w:line="360" w:lineRule="auto" w:after="80"/>
        <w:ind w:left="454" w:hanging="227"/>
      </w:pPr>
      <w:r>
        <w:rPr>
          <w:rFonts w:ascii="Arial" w:hAnsi="Arial" w:eastAsia="Arial"/>
          <w:color w:val="000000"/>
          <w:sz w:val="22"/>
        </w:rPr>
        <w:t>Subir o Juice Shop, executar o plano de automação do ZAP e avaliar o JSON no mesmo gate.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84"/>
        <w:gridCol w:w="1587"/>
        <w:gridCol w:w="3402"/>
        <w:gridCol w:w="2098"/>
      </w:tblGrid>
      <w:tr>
        <w:trPr>
          <w:tblHeader w:val="true"/>
        </w:trPr>
        <w:tc>
          <w:tcPr>
            <w:tcW w:type="dxa" w:w="1984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Ferramenta</w:t>
            </w:r>
          </w:p>
        </w:tc>
        <w:tc>
          <w:tcPr>
            <w:tcW w:type="dxa" w:w="1587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Versão executada</w:t>
            </w:r>
          </w:p>
        </w:tc>
        <w:tc>
          <w:tcPr>
            <w:tcW w:type="dxa" w:w="3402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Escopo</w:t>
            </w:r>
          </w:p>
        </w:tc>
        <w:tc>
          <w:tcPr>
            <w:tcW w:type="dxa" w:w="2098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Tempo observado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Semgrep</w:t>
            </w:r>
          </w:p>
        </w:tc>
        <w:tc>
          <w:tcPr>
            <w:tcW w:type="dxa" w:w="158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1.172.0</w:t>
            </w:r>
          </w:p>
        </w:tc>
        <w:tc>
          <w:tcPr>
            <w:tcW w:type="dxa" w:w="340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1.027 arquivos no geral; 1 arquivo no red e green</w:t>
            </w:r>
          </w:p>
        </w:tc>
        <w:tc>
          <w:tcPr>
            <w:tcW w:type="dxa" w:w="209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cerca de 3 min no geral</w:t>
            </w:r>
          </w:p>
        </w:tc>
      </w:tr>
      <w:tr>
        <w:tc>
          <w:tcPr>
            <w:tcW w:type="dxa" w:w="198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Dependency-Check</w:t>
            </w:r>
          </w:p>
        </w:tc>
        <w:tc>
          <w:tcPr>
            <w:tcW w:type="dxa" w:w="158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13.0.0</w:t>
            </w:r>
          </w:p>
        </w:tc>
        <w:tc>
          <w:tcPr>
            <w:tcW w:type="dxa" w:w="3402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Juice Shop e exemplo SCA</w:t>
            </w:r>
          </w:p>
        </w:tc>
        <w:tc>
          <w:tcPr>
            <w:tcW w:type="dxa" w:w="209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7 s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Checkov</w:t>
            </w:r>
          </w:p>
        </w:tc>
        <w:tc>
          <w:tcPr>
            <w:tcW w:type="dxa" w:w="158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3.3.11</w:t>
            </w:r>
          </w:p>
        </w:tc>
        <w:tc>
          <w:tcPr>
            <w:tcW w:type="dxa" w:w="340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26 recursos Terraform</w:t>
            </w:r>
          </w:p>
        </w:tc>
        <w:tc>
          <w:tcPr>
            <w:tcW w:type="dxa" w:w="209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cerca de 9 s</w:t>
            </w:r>
          </w:p>
        </w:tc>
      </w:tr>
      <w:tr>
        <w:tc>
          <w:tcPr>
            <w:tcW w:type="dxa" w:w="198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OWASP ZAP</w:t>
            </w:r>
          </w:p>
        </w:tc>
        <w:tc>
          <w:tcPr>
            <w:tcW w:type="dxa" w:w="158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2.17.0</w:t>
            </w:r>
          </w:p>
        </w:tc>
        <w:tc>
          <w:tcPr>
            <w:tcW w:type="dxa" w:w="3402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Juice Shop local</w:t>
            </w:r>
          </w:p>
        </w:tc>
        <w:tc>
          <w:tcPr>
            <w:tcW w:type="dxa" w:w="209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active scan 3 min 48 s</w:t>
            </w:r>
          </w:p>
        </w:tc>
      </w:tr>
    </w:tbl>
    <w:p>
      <w:pPr>
        <w:spacing w:after="40"/>
        <w:ind w:firstLine="0"/>
      </w:pPr>
    </w:p>
    <w:p>
      <w:pPr>
        <w:spacing w:after="120"/>
        <w:ind w:firstLine="0"/>
      </w:pPr>
      <w:r>
        <w:rPr>
          <w:rFonts w:ascii="Arial" w:hAnsi="Arial" w:eastAsia="Arial"/>
          <w:color w:val="000000"/>
          <w:sz w:val="22"/>
        </w:rPr>
        <w:t>Os tempos são medições do ambiente do grupo e não benchmarks universais. Cache de imagens, desempenho do host, quantidade de arquivos e atualização de bases alteram o resultado.</w:t>
      </w:r>
    </w:p>
    <w:p>
      <w:pPr>
        <w:spacing w:after="80" w:before="36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SAST</w:t>
      </w:r>
    </w:p>
    <w:p>
      <w:pPr>
        <w:pStyle w:val="Heading1"/>
        <w:ind w:firstLine="0"/>
        <w:keepNext/>
        <w:keepLines/>
      </w:pPr>
      <w:r>
        <w:t>4 Semgrep</w:t>
      </w:r>
    </w:p>
    <w:p>
      <w:pPr>
        <w:pStyle w:val="Heading2"/>
        <w:ind w:firstLine="0"/>
        <w:keepNext/>
        <w:keepLines/>
      </w:pPr>
      <w:r>
        <w:t>Identificação e atividade do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835"/>
        <w:gridCol w:w="6236"/>
      </w:tblGrid>
      <w:tr>
        <w:trPr>
          <w:tblHeader w:val="true"/>
        </w:trPr>
        <w:tc>
          <w:tcPr>
            <w:tcW w:type="dxa" w:w="2835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6236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Mantenedor</w:t>
            </w:r>
          </w:p>
        </w:tc>
        <w:tc>
          <w:tcPr>
            <w:tcW w:type="dxa" w:w="623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Semgrep Inc. e comunidade</w:t>
            </w:r>
          </w:p>
        </w:tc>
      </w:tr>
      <w:tr>
        <w:tc>
          <w:tcPr>
            <w:tcW w:type="dxa" w:w="283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Licença do motor open source</w:t>
            </w:r>
          </w:p>
        </w:tc>
        <w:tc>
          <w:tcPr>
            <w:tcW w:type="dxa" w:w="6236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LGPL 2.1</w:t>
            </w:r>
          </w:p>
        </w:tc>
      </w:tr>
      <w:tr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Início público</w:t>
            </w:r>
          </w:p>
        </w:tc>
        <w:tc>
          <w:tcPr>
            <w:tcW w:type="dxa" w:w="623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2017</w:t>
            </w:r>
          </w:p>
        </w:tc>
      </w:tr>
      <w:tr>
        <w:tc>
          <w:tcPr>
            <w:tcW w:type="dxa" w:w="283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Linguagens de implementação</w:t>
            </w:r>
          </w:p>
        </w:tc>
        <w:tc>
          <w:tcPr>
            <w:tcW w:type="dxa" w:w="6236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OCaml no motor e Python na CLI</w:t>
            </w:r>
          </w:p>
        </w:tc>
      </w:tr>
      <w:tr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Comunidade em 15 set. 2026</w:t>
            </w:r>
          </w:p>
        </w:tc>
        <w:tc>
          <w:tcPr>
            <w:tcW w:type="dxa" w:w="623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aprox. 16,7 mil estrelas, 1,1 mil forks e 10.297 commits</w:t>
            </w:r>
          </w:p>
        </w:tc>
      </w:tr>
      <w:tr>
        <w:tc>
          <w:tcPr>
            <w:tcW w:type="dxa" w:w="283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Release atual na consulta</w:t>
            </w:r>
          </w:p>
        </w:tc>
        <w:tc>
          <w:tcPr>
            <w:tcW w:type="dxa" w:w="6236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v1.177.0, publicada em 10 set. 2026</w:t>
            </w:r>
          </w:p>
        </w:tc>
      </w:tr>
      <w:tr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Versão do laboratório</w:t>
            </w:r>
          </w:p>
        </w:tc>
        <w:tc>
          <w:tcPr>
            <w:tcW w:type="dxa" w:w="623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v1.172.0</w:t>
            </w:r>
          </w:p>
        </w:tc>
      </w:tr>
    </w:tbl>
    <w:p>
      <w:pPr>
        <w:spacing w:after="40"/>
        <w:ind w:firstLine="0"/>
      </w:pP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repositório oficial descreve Semgrep Community Edition como um mecanismo open source de análise estática e informa suporte a mais de 30 linguagens [5]. A sucessão de releases entre julho e setembro de 2026 indica manutenção frequente [7]. A edição comunitária cobre análise local; recursos proprietários acrescentam análise entre arquivos, regras comerciais e triagem hospedada.</w:t>
      </w:r>
    </w:p>
    <w:p>
      <w:pPr>
        <w:pStyle w:val="Heading2"/>
        <w:ind w:firstLine="0"/>
        <w:keepNext/>
        <w:keepLines/>
      </w:pPr>
      <w:r>
        <w:t>Fundamento técnico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Semgrep transforma o código em uma representação sintática e compara essa estrutura com padrões semelhantes à própria linguagem. Isso evita depender apenas de texto ou expressão regular. As regras podem usar pattern matching, metavariáveis e, em modos compatíveis, análise de taint para representar origem, propagação, sanitização e destino de dados.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 ferramenta detecta APIs perigosas, injeções, configurações inseguras, uso incorreto de bibliotecas e padrões específicos da equipe quando existe uma regra aplicável. A Community Edition não entende toda a semântica de execução e possui limites em fluxos entre funções e arquivos. Reflexão, geração dinâmica de código e regras ausentes podem produzir falsos negativos. Um match sintático também pode ser irrelevante quando aparece em teste, exemplo ou código inalcançável.</w:t>
      </w:r>
    </w:p>
    <w:p>
      <w:pPr>
        <w:spacing w:after="80" w:before="2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SEMGREP NA PRÁTICA</w:t>
      </w:r>
    </w:p>
    <w:p>
      <w:pPr>
        <w:pStyle w:val="Heading2"/>
        <w:ind w:firstLine="0"/>
        <w:keepNext/>
        <w:keepLines/>
      </w:pPr>
      <w:r>
        <w:t>Instalação configuração e integração</w:t>
      </w:r>
    </w:p>
    <w:p>
      <w:pPr>
        <w:pStyle w:val="Heading3"/>
        <w:ind w:firstLine="0"/>
        <w:keepNext/>
        <w:keepLines/>
      </w:pPr>
      <w:r>
        <w:t>Instalação e formatos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Semgrep pode ser instalado por pip, pipx, Homebrew e imagem Docker. O laboratório usou Docker para evitar dependências locais e fixar a versão. As saídas mais úteis para automação são JSON e SARIF; o terminal serve à execução guiada. O SARIF pode ser enviado ao GitHub Code Scanning, enquanto o JSON permite aplicar uma política própria.</w:t>
      </w:r>
    </w:p>
    <w:p>
      <w:pPr>
        <w:spacing w:line="240" w:lineRule="auto" w:before="100" w:after="160"/>
        <w:ind w:left="142" w:right="142" w:firstLine="0"/>
        <w:shd w:fill="F4F6F7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Consolas"/>
          <w:color w:val="000000"/>
          <w:sz w:val="17"/>
        </w:rPr>
        <w:t>docker run --rm -v "${ProjectDir}target/juice-shop:/src/target/juice-shop" `</w:t>
        <w:br/>
        <w:t xml:space="preserve">  -v "${ProjectDir}reports:/src/reports" semgrep/semgrep:1.172.0 `</w:t>
        <w:br/>
        <w:t xml:space="preserve">  semgrep scan --config auto --json `</w:t>
        <w:br/>
        <w:t xml:space="preserve">  --output /src/reports/semgrep-auto.json /src/target/juice-shop</w:t>
      </w:r>
    </w:p>
    <w:p>
      <w:pPr>
        <w:pStyle w:val="Heading3"/>
        <w:ind w:firstLine="0"/>
        <w:keepNext/>
        <w:keepLines/>
      </w:pPr>
      <w:r>
        <w:t>Uso geral sem regra própria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 opção --config auto selecionou regras comunitárias compatíveis com as linguagens detectadas. Portanto, o scan geral não dependeu de uma regra criada pelo grupo. Essa é a forma mais próxima de um uso geral: ela oferece amplitude, mas também inclui achados de manutenção, exemplos, workflows e infraestrutura que exigem triagem.</w:t>
      </w:r>
    </w:p>
    <w:p>
      <w:pPr>
        <w:pStyle w:val="Heading3"/>
        <w:ind w:firstLine="0"/>
        <w:keepNext/>
        <w:keepLines/>
      </w:pPr>
      <w:r>
        <w:t>Regra local do gate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 regra em security/semgrep.yml não foi necessária para encontrar SQL Injection no scan geral. Ela foi mantida para o laboratório de 12 minutos, porque limita o escopo a uma construção conhecida e torna o red e green reproduzível. A metadata devsecops_severity normaliza o achado como HIGH e CWE-89. Em produção, regras locais devem ter testes positivos e negativos, responsável e revisão quando o framework mudar.</w:t>
      </w:r>
    </w:p>
    <w:p>
      <w:pPr>
        <w:pStyle w:val="Heading3"/>
        <w:ind w:firstLine="0"/>
        <w:keepNext/>
        <w:keepLines/>
      </w:pPr>
      <w:r>
        <w:t>Baselines supressão IDE e pre commit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Semgrep permite ignorar trechos com nosemgrep, excluir caminhos, comparar com um commit de baseline e executar somente achados novos em CI. Supressões devem registrar justificativa e prazo; esconder um diretório inteiro reduz cobertura. Extensões de IDE e hooks de pre-commit oferecem feedback antes do push. Para repositórios grandes, recomenda-se um conjunto rápido no pre-commit e uma política mais ampla no CI [6].</w:t>
      </w:r>
    </w:p>
    <w:p>
      <w:pPr>
        <w:spacing w:after="80" w:before="2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SEMGREP SEM REGRA PERSONALIZADA</w:t>
      </w:r>
    </w:p>
    <w:p>
      <w:pPr>
        <w:pStyle w:val="Heading2"/>
        <w:ind w:firstLine="0"/>
        <w:keepNext/>
        <w:keepLines/>
      </w:pPr>
      <w:r>
        <w:t>Execução geral e evidência de terminal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scan geral considerou 1.074 regras comunitárias e executou 408 delas sobre 1.027 arquivos. Foram produzidos 69 achados: 18 ERROR, 46 WARNING, 2 MEDIUM e 3 INFO. O relatório também registrou 53 erros ou avisos de análise, em grande parte associados a snippets deliberadamente incompletos da aplicação de treinamento. A taxa de linhas analisadas foi próxima de 99,9%.</w:t>
      </w:r>
    </w:p>
    <w:p>
      <w:pPr>
        <w:spacing w:before="80" w:after="0"/>
        <w:ind w:firstLine="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220000" cy="4322812"/>
            <wp:docPr id="1" name="Picture 1" descr="Terminal do PowerShell mostrando o scan geral do Semgrep concluído com 69 achados, 408 regras e 1.027 alvos" title="Figura 1 Execução real do Semgrep com configuração au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-semgrep-term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2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Arial"/>
          <w:b/>
          <w:color w:val="000000"/>
          <w:sz w:val="18"/>
        </w:rPr>
        <w:t>Figura 1 Execução real do Semgrep com configuração auto.</w:t>
      </w:r>
      <w:r>
        <w:br/>
      </w:r>
      <w:r>
        <w:rPr>
          <w:rFonts w:ascii="Arial" w:hAnsi="Arial" w:eastAsia="Arial"/>
          <w:color w:val="66737D"/>
          <w:sz w:val="18"/>
        </w:rPr>
        <w:t>Fonte: captura de terminal do Grupo 4, 2026.</w:t>
      </w:r>
    </w:p>
    <w:p>
      <w:pPr>
        <w:spacing w:after="120"/>
        <w:ind w:firstLine="0"/>
      </w:pPr>
      <w:r>
        <w:rPr>
          <w:rFonts w:ascii="Arial" w:hAnsi="Arial" w:eastAsia="Arial"/>
          <w:color w:val="000000"/>
          <w:sz w:val="22"/>
        </w:rPr>
        <w:t>A mensagem NativeCommandError no início da captura foi produzida pelo PowerShell 5.1 ao converter a saída stderr do processo Docker em um registro de erro durante o redirecionamento 2&gt;&amp;1. Ela não representa falha do scanner: a mesma captura mostra Scan completed successfully e o JSON foi gravado. Para uma apresentação mais limpa, o comando pode ser executado sem o redirecionamento combinado.</w:t>
      </w:r>
    </w:p>
    <w:p>
      <w:pPr>
        <w:spacing w:after="80" w:before="2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SEMGREP NO QUALITY GATE</w:t>
      </w:r>
    </w:p>
    <w:p>
      <w:pPr>
        <w:pStyle w:val="Heading2"/>
        <w:ind w:firstLine="0"/>
        <w:keepNext/>
        <w:keepLines/>
      </w:pPr>
      <w:r>
        <w:t>Resultados red e green correção e avaliação crítica</w:t>
      </w:r>
    </w:p>
    <w:p>
      <w:pPr>
        <w:pStyle w:val="Heading3"/>
        <w:ind w:firstLine="0"/>
        <w:keepNext/>
        <w:keepLines/>
      </w:pPr>
      <w:r>
        <w:t>Resultado determinístico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14"/>
        <w:gridCol w:w="1247"/>
        <w:gridCol w:w="1247"/>
        <w:gridCol w:w="1701"/>
        <w:gridCol w:w="3061"/>
      </w:tblGrid>
      <w:tr>
        <w:trPr>
          <w:tblHeader w:val="true"/>
        </w:trPr>
        <w:tc>
          <w:tcPr>
            <w:tcW w:type="dxa" w:w="1814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1247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Arquivos</w:t>
            </w:r>
          </w:p>
        </w:tc>
        <w:tc>
          <w:tcPr>
            <w:tcW w:type="dxa" w:w="1247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Regras</w:t>
            </w:r>
          </w:p>
        </w:tc>
        <w:tc>
          <w:tcPr>
            <w:tcW w:type="dxa" w:w="1701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Achados</w:t>
            </w:r>
          </w:p>
        </w:tc>
        <w:tc>
          <w:tcPr>
            <w:tcW w:type="dxa" w:w="3061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Decisão</w:t>
            </w:r>
          </w:p>
        </w:tc>
      </w:tr>
      <w:tr>
        <w:tc>
          <w:tcPr>
            <w:tcW w:type="dxa" w:w="181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Red</w:t>
            </w:r>
          </w:p>
        </w:tc>
        <w:tc>
          <w:tcPr>
            <w:tcW w:type="dxa" w:w="124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4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 HIGH</w:t>
            </w:r>
          </w:p>
        </w:tc>
        <w:tc>
          <w:tcPr>
            <w:tcW w:type="dxa" w:w="306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Gate bloqueado</w:t>
            </w:r>
          </w:p>
        </w:tc>
      </w:tr>
      <w:tr>
        <w:tc>
          <w:tcPr>
            <w:tcW w:type="dxa" w:w="181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Green</w:t>
            </w:r>
          </w:p>
        </w:tc>
        <w:tc>
          <w:tcPr>
            <w:tcW w:type="dxa" w:w="124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4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06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Gate aprovado</w:t>
            </w:r>
          </w:p>
        </w:tc>
      </w:tr>
    </w:tbl>
    <w:p>
      <w:pPr>
        <w:spacing w:after="40"/>
        <w:ind w:firstLine="0"/>
      </w:pPr>
    </w:p>
    <w:p>
      <w:pPr>
        <w:pStyle w:val="Heading3"/>
        <w:ind w:firstLine="0"/>
        <w:keepNext/>
        <w:keepLines/>
      </w:pPr>
      <w:r>
        <w:t>Código vulnerável</w:t>
      </w:r>
    </w:p>
    <w:p>
      <w:pPr>
        <w:spacing w:line="240" w:lineRule="auto" w:before="100" w:after="160"/>
        <w:ind w:left="142" w:right="142" w:firstLine="0"/>
        <w:shd w:fill="F4F6F7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Consolas"/>
          <w:color w:val="000000"/>
          <w:sz w:val="17"/>
        </w:rPr>
        <w:t>models.sequelize.query(`SELECT * FROM Products WHERE</w:t>
        <w:br/>
        <w:t xml:space="preserve">  ((name LIKE '%${criteria}%' OR description LIKE '%${criteria}%')</w:t>
        <w:br/>
        <w:t xml:space="preserve">  AND deletedAt IS NULL) ORDER BY name`)</w:t>
      </w:r>
    </w:p>
    <w:p>
      <w:pPr>
        <w:pStyle w:val="Heading3"/>
        <w:ind w:firstLine="0"/>
        <w:keepNext/>
        <w:keepLines/>
      </w:pPr>
      <w:r>
        <w:t>Correção aplicada</w:t>
      </w:r>
    </w:p>
    <w:p>
      <w:pPr>
        <w:spacing w:line="240" w:lineRule="auto" w:before="100" w:after="160"/>
        <w:ind w:left="142" w:right="142" w:firstLine="0"/>
        <w:shd w:fill="F4F6F7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Consolas"/>
          <w:color w:val="000000"/>
          <w:sz w:val="17"/>
        </w:rPr>
        <w:t>models.sequelize.query(`SELECT * FROM Products WHERE</w:t>
        <w:br/>
        <w:t xml:space="preserve">  ((name LIKE :criteria OR description LIKE :criteria)</w:t>
        <w:br/>
        <w:t xml:space="preserve">  AND deletedAt IS NULL) ORDER BY name`,</w:t>
        <w:br/>
        <w:t xml:space="preserve">  { replacements: { criteria: `%${criteria}%` } })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 correção separa o valor fornecido pelo usuário da estrutura da consulta. O marcador :criteria é resolvido pelo driver com replacements, reduzindo a possibilidade de o conteúdo alterar a sintaxe SQL. A validação green prova que a regra local deixou de encontrar o padrão naquele arquivo; não prova que todo o Juice Shop está seguro.</w:t>
      </w:r>
    </w:p>
    <w:p>
      <w:pPr>
        <w:pStyle w:val="Heading3"/>
        <w:ind w:firstLine="0"/>
        <w:keepNext/>
        <w:keepLines/>
      </w:pPr>
      <w:r>
        <w:t>Falsos positivos e desempenho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As 69 ocorrências não foram integralmente classificadas, portanto não existe uma taxa geral confiável. No recorte da regra comunitária de injeção via Sequelize, seis matches foram encontrados: dois em rotas executáveis e quatro em data/static/codefixes, arquivos didáticos. Para o risco de produção, esses quatro são ruído operacional, o que corresponde a 66,7% no recorte. A regra local do laboratório produziu um match verdadeiro e nenhum falso positivo. O scan geral levou cerca de três minutos; o recorte de um arquivo terminou em menos de um segundo.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Ponto forte: criação rápida de regras e feedback próximo ao código. Limitação: a cobertura depende do conjunto de regras e do contexto disponível. Cenário ideal: revisão de pull request, IDE e gates de padrões que a equipe consegue testar. Alternativas incluem OpenGrep, CodeQL e SonarQube; o Semgrep foi escolhido pela execução local simples, regras legíveis e bom encaixe no laboratório.</w:t>
      </w:r>
    </w:p>
    <w:p>
      <w:r>
        <w:br w:type="page"/>
      </w:r>
    </w:p>
    <w:p>
      <w:pPr>
        <w:spacing w:after="80" w:before="36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SCA</w:t>
      </w:r>
    </w:p>
    <w:p>
      <w:pPr>
        <w:pStyle w:val="Heading1"/>
        <w:ind w:firstLine="0"/>
        <w:keepNext/>
        <w:keepLines/>
      </w:pPr>
      <w:r>
        <w:t>5 OWASP Dependency Check</w:t>
      </w:r>
    </w:p>
    <w:p>
      <w:pPr>
        <w:pStyle w:val="Heading2"/>
        <w:ind w:firstLine="0"/>
        <w:keepNext/>
        <w:keepLines/>
      </w:pPr>
      <w:r>
        <w:t>Identificação e atividade do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835"/>
        <w:gridCol w:w="6236"/>
      </w:tblGrid>
      <w:tr>
        <w:trPr>
          <w:tblHeader w:val="true"/>
        </w:trPr>
        <w:tc>
          <w:tcPr>
            <w:tcW w:type="dxa" w:w="2835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6236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Mantenedor</w:t>
            </w:r>
          </w:p>
        </w:tc>
        <w:tc>
          <w:tcPr>
            <w:tcW w:type="dxa" w:w="623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OWASP Dependency-Check, Jeremy Long e comunidade</w:t>
            </w:r>
          </w:p>
        </w:tc>
      </w:tr>
      <w:tr>
        <w:tc>
          <w:tcPr>
            <w:tcW w:type="dxa" w:w="283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Licença</w:t>
            </w:r>
          </w:p>
        </w:tc>
        <w:tc>
          <w:tcPr>
            <w:tcW w:type="dxa" w:w="6236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Apache 2.0</w:t>
            </w:r>
          </w:p>
        </w:tc>
      </w:tr>
      <w:tr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Ano de criação</w:t>
            </w:r>
          </w:p>
        </w:tc>
        <w:tc>
          <w:tcPr>
            <w:tcW w:type="dxa" w:w="623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2012</w:t>
            </w:r>
          </w:p>
        </w:tc>
      </w:tr>
      <w:tr>
        <w:tc>
          <w:tcPr>
            <w:tcW w:type="dxa" w:w="283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Linguagem principal</w:t>
            </w:r>
          </w:p>
        </w:tc>
        <w:tc>
          <w:tcPr>
            <w:tcW w:type="dxa" w:w="6236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Java</w:t>
            </w:r>
          </w:p>
        </w:tc>
      </w:tr>
      <w:tr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Comunidade em 15 set. 2026</w:t>
            </w:r>
          </w:p>
        </w:tc>
        <w:tc>
          <w:tcPr>
            <w:tcW w:type="dxa" w:w="623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aprox. 7,7 mil estrelas, 1,4 mil forks e 11.258 commits</w:t>
            </w:r>
          </w:p>
        </w:tc>
      </w:tr>
      <w:tr>
        <w:tc>
          <w:tcPr>
            <w:tcW w:type="dxa" w:w="283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Release atual e executada</w:t>
            </w:r>
          </w:p>
        </w:tc>
        <w:tc>
          <w:tcPr>
            <w:tcW w:type="dxa" w:w="6236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v13.0.0, publicada em 3 ago. 2026</w:t>
            </w:r>
          </w:p>
        </w:tc>
      </w:tr>
    </w:tbl>
    <w:p>
      <w:pPr>
        <w:spacing w:after="40"/>
        <w:ind w:firstLine="0"/>
      </w:pP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Dependency-Check é um utilitário de Software Composition Analysis que tenta identificar componentes e associá-los a CPEs para consultar vulnerabilidades publicadas [8]. A versão 13.0.0 estava atual na data do laboratório [10]. O projeto mantém CLI e integrações com Maven, Gradle, Ant e Jenkins.</w:t>
      </w:r>
    </w:p>
    <w:p>
      <w:pPr>
        <w:pStyle w:val="Heading2"/>
        <w:ind w:firstLine="0"/>
        <w:keepNext/>
        <w:keepLines/>
      </w:pPr>
      <w:r>
        <w:t>Fundamento técnico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 ferramenta usa analisadores por tipo de arquivo e ecossistema para coletar evidências de nome, fornecedor e versão. Em seguida, tenta resolver identificadores de plataforma e consulta dados de vulnerabilidade, principalmente do NVD. A correspondência não é uma prova automática de explorabilidade. Nomes genéricos, componentes empacotados e metadados incompletos podem produzir CPEs errados ou deixar de identificar a versão real.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Dependency-Check detecta CVEs conhecidos quando consegue identificar o componente. Ele não encontra uma falha inédita no código próprio, não verifica configuração de nuvem e não ataca a aplicação. Também não substitui análise de alcance: uma biblioteca pode estar presente sem que a função vulnerável seja chamada. O sentido inverso também ocorre, pois um inventário incompleto gera falso negativo.</w:t>
      </w:r>
    </w:p>
    <w:p>
      <w:pPr>
        <w:pStyle w:val="Heading2"/>
        <w:ind w:firstLine="0"/>
        <w:keepNext/>
        <w:keepLines/>
      </w:pPr>
      <w:r>
        <w:t>Bases e atualização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 documentação recomenda chave de API do NVD e cache para CI, pois downloads completos e limites de requisição podem aumentar o tempo [8]. O laboratório usou uma imagem já disponível e --noupdate para evitar dependência de rede. Essa decisão tornou a execução rápida, mas vinculou o resultado à base existente na imagem. Em produção, a base precisa de atualização controlada e monitorada.</w:t>
      </w:r>
    </w:p>
    <w:p>
      <w:pPr>
        <w:spacing w:after="80" w:before="2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DEPENDENCY CHECK NA PRÁTICA</w:t>
      </w:r>
    </w:p>
    <w:p>
      <w:pPr>
        <w:pStyle w:val="Heading2"/>
        <w:ind w:firstLine="0"/>
        <w:keepNext/>
        <w:keepLines/>
      </w:pPr>
      <w:r>
        <w:t>Instalação uso integração e tratamento de exceções</w:t>
      </w:r>
    </w:p>
    <w:p>
      <w:pPr>
        <w:pStyle w:val="Heading3"/>
        <w:ind w:firstLine="0"/>
        <w:keepNext/>
        <w:keepLines/>
      </w:pPr>
      <w:r>
        <w:t>Formas de execução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 ferramenta pode ser executada por CLI, Docker, Homebrew, Maven, Gradle, Ant e Jenkins. Os formatos incluem HTML, JSON, XML, CSV, JUnit, SARIF, GitLab e Jenkins. O parâmetro failOnCVSS ou seu equivalente no plugin permite falhar o build por pontuação, mas deve ser combinado com supressões revisadas e cobertura comprovada.</w:t>
      </w:r>
    </w:p>
    <w:p>
      <w:pPr>
        <w:spacing w:line="240" w:lineRule="auto" w:before="100" w:after="160"/>
        <w:ind w:left="142" w:right="142" w:firstLine="0"/>
        <w:shd w:fill="F4F6F7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Consolas"/>
          <w:color w:val="000000"/>
          <w:sz w:val="17"/>
        </w:rPr>
        <w:t>dependency-check --scan /src --out /report --format ALL `</w:t>
        <w:br/>
        <w:t xml:space="preserve">  --project "Checkpoint DevSecOps Grupo 4" `</w:t>
        <w:br/>
        <w:t xml:space="preserve">  --noupdate --disableOssIndex --enableExperimental</w:t>
      </w:r>
    </w:p>
    <w:p>
      <w:pPr>
        <w:pStyle w:val="Heading3"/>
        <w:ind w:firstLine="0"/>
        <w:keepNext/>
        <w:keepLines/>
      </w:pPr>
      <w:r>
        <w:t>Supressões e baselines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Falsos positivos podem ser tratados com um arquivo XML de suppression que registra CVE, CPE, pacote ou hash. Uma supressão útil inclui motivo e data de expiração. A equipe também pode comparar resultados com um baseline aprovado e bloquear apenas novas vulnerabilidades acima do limiar. Suprimir porque o build precisa passar, sem documentar alcance ou mitigação, remove o controle.</w:t>
      </w:r>
    </w:p>
    <w:p>
      <w:pPr>
        <w:pStyle w:val="Heading3"/>
        <w:ind w:firstLine="0"/>
        <w:keepNext/>
        <w:keepLines/>
      </w:pPr>
      <w:r>
        <w:t>Integração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Maven e Gradle permitem executar a análise no ciclo de build; Jenkins possui plugin; a CLI funciona em GitHub Actions, GitLab CI e outros runners. O SARIF pode alimentar Code Scanning e plataformas que aceitam o padrão. O DefectDojo possui importadores para relatórios de Dependency-Check. A ferramenta não tem o mesmo encaixe de um linter em IDE ou pre-commit: a atualização de bases e a resolução de dependências tornam o CI ou um job agendado mais apropriado.</w:t>
      </w:r>
    </w:p>
    <w:p>
      <w:pPr>
        <w:pStyle w:val="Heading3"/>
        <w:ind w:firstLine="0"/>
        <w:keepNext/>
        <w:keepLines/>
      </w:pPr>
      <w:r>
        <w:t>Dependência do inventário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Para Node.js, o lockfile e o diretório de dependências ajudam a determinar versões efetivas. O enunciado pede interpretação crítica, portanto um relatório vazio precisa ser confrontado com os avisos de cobertura. Esse ponto foi decisivo na execução do grupo.</w:t>
      </w:r>
    </w:p>
    <w:p>
      <w:pPr>
        <w:spacing w:after="80" w:before="2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DEPENDENCY CHECK EXECUTADO</w:t>
      </w:r>
    </w:p>
    <w:p>
      <w:pPr>
        <w:pStyle w:val="Heading2"/>
        <w:ind w:firstLine="0"/>
        <w:keepNext/>
        <w:keepLines/>
      </w:pPr>
      <w:r>
        <w:t>Resultado observado e interpretação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 versão 13.0.0 analisou 15 dependências em sete segundos e reportou zero vulnerabilidades. Quatro exceções apareceram ao abrir arquivos propositalmente malformados ou ofensivos usados pelos testes do Juice Shop: dois ZIPs com tentativa de path traversal, um ZIP criptografado e um executável truncado. Esses erros não são CVEs do projeto; são limitações do processamento desses arquivos.</w:t>
      </w:r>
    </w:p>
    <w:p>
      <w:pPr>
        <w:spacing w:before="80" w:after="0"/>
        <w:ind w:firstLine="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2" name="Picture 2" descr="Relatório HTML do Dependency-Check mostrando 15 dependências, zero vulnerabilidades e quatro exceções de análise" title="Figura 2 Relatório HTML real do OWASP Dependency Chec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-dependency-che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Arial"/>
          <w:b/>
          <w:color w:val="000000"/>
          <w:sz w:val="18"/>
        </w:rPr>
        <w:t>Figura 2 Relatório HTML real do OWASP Dependency Check.</w:t>
      </w:r>
      <w:r>
        <w:br/>
      </w:r>
      <w:r>
        <w:rPr>
          <w:rFonts w:ascii="Arial" w:hAnsi="Arial" w:eastAsia="Arial"/>
          <w:color w:val="66737D"/>
          <w:sz w:val="18"/>
        </w:rPr>
        <w:t>Fonte: relatório gerado pelo Grupo 4, 2026.</w:t>
      </w:r>
    </w:p>
    <w:p>
      <w:pPr>
        <w:pStyle w:val="Heading3"/>
        <w:ind w:firstLine="0"/>
        <w:keepNext/>
        <w:keepLines/>
      </w:pPr>
      <w:r>
        <w:t>Por que o resultado é inconclusivo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log informou que package-lock.json não estava presente e que node_modules não existia em dois projetos Node. A própria ferramenta alertou que essa condição pode produzir falsos negativos. Além disso, o modo --noupdate utilizou uma base previamente armazenada e o OSS Index foi desabilitado. Assim, zero CVEs significa apenas que nenhuma correspondência foi encontrada na cobertura disponível.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1757"/>
        <w:gridCol w:w="5046"/>
      </w:tblGrid>
      <w:tr>
        <w:trPr>
          <w:tblHeader w:val="true"/>
        </w:trPr>
        <w:tc>
          <w:tcPr>
            <w:tcW w:type="dxa" w:w="2268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757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5046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Leitura correta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Dependências identificadas</w:t>
            </w:r>
          </w:p>
        </w:tc>
        <w:tc>
          <w:tcPr>
            <w:tcW w:type="dxa" w:w="175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504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Inventário parcial</w:t>
            </w:r>
          </w:p>
        </w:tc>
      </w:tr>
      <w:tr>
        <w:tc>
          <w:tcPr>
            <w:tcW w:type="dxa" w:w="226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Vulnerabilidades</w:t>
            </w:r>
          </w:p>
        </w:tc>
        <w:tc>
          <w:tcPr>
            <w:tcW w:type="dxa" w:w="175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5046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Não autoriza concluir que o projeto está seguro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Exceções</w:t>
            </w:r>
          </w:p>
        </w:tc>
        <w:tc>
          <w:tcPr>
            <w:tcW w:type="dxa" w:w="175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04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Arquivos de teste não analisados</w:t>
            </w:r>
          </w:p>
        </w:tc>
      </w:tr>
      <w:tr>
        <w:tc>
          <w:tcPr>
            <w:tcW w:type="dxa" w:w="226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Tempo</w:t>
            </w:r>
          </w:p>
        </w:tc>
        <w:tc>
          <w:tcPr>
            <w:tcW w:type="dxa" w:w="175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7 s</w:t>
            </w:r>
          </w:p>
        </w:tc>
        <w:tc>
          <w:tcPr>
            <w:tcW w:type="dxa" w:w="5046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Rápido porque não atualizou as bases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Taxa de falso positivo</w:t>
            </w:r>
          </w:p>
        </w:tc>
        <w:tc>
          <w:tcPr>
            <w:tcW w:type="dxa" w:w="175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não calculável</w:t>
            </w:r>
          </w:p>
        </w:tc>
        <w:tc>
          <w:tcPr>
            <w:tcW w:type="dxa" w:w="504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Não houve achado de vulnerabilidade para classificar</w:t>
            </w:r>
          </w:p>
        </w:tc>
      </w:tr>
    </w:tbl>
    <w:p>
      <w:pPr>
        <w:spacing w:after="40"/>
        <w:ind w:firstLine="0"/>
      </w:pP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Ponto forte: integração madura com builds Java e relatórios amplos. Limitação observada: forte dependência de inventário e bases. Cenário ideal: projeto com lockfiles, dependências resolvidas, cache atualizado e chave NVD. Alternativas incluem Trivy, Grype, OSV-Scanner e ferramentas nativas do ecossistema. O Dependency-Check permanece útil como uma fonte, mas o resultado deve ser combinado com SBOM e outro mecanismo de SCA quando a cobertura do ecossistema for limitada.</w:t>
      </w:r>
    </w:p>
    <w:p>
      <w:pPr>
        <w:spacing w:after="80" w:before="36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IAC SECURITY</w:t>
      </w:r>
    </w:p>
    <w:p>
      <w:pPr>
        <w:pStyle w:val="Heading1"/>
        <w:ind w:firstLine="0"/>
        <w:keepNext/>
        <w:keepLines/>
      </w:pPr>
      <w:r>
        <w:t>6 Checkov</w:t>
      </w:r>
    </w:p>
    <w:p>
      <w:pPr>
        <w:pStyle w:val="Heading2"/>
        <w:ind w:firstLine="0"/>
        <w:keepNext/>
        <w:keepLines/>
      </w:pPr>
      <w:r>
        <w:t>Identificação e atividade do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835"/>
        <w:gridCol w:w="6236"/>
      </w:tblGrid>
      <w:tr>
        <w:trPr>
          <w:tblHeader w:val="true"/>
        </w:trPr>
        <w:tc>
          <w:tcPr>
            <w:tcW w:type="dxa" w:w="2835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6236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Mantenedor</w:t>
            </w:r>
          </w:p>
        </w:tc>
        <w:tc>
          <w:tcPr>
            <w:tcW w:type="dxa" w:w="623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Prisma Cloud da Palo Alto Networks e comunidade</w:t>
            </w:r>
          </w:p>
        </w:tc>
      </w:tr>
      <w:tr>
        <w:tc>
          <w:tcPr>
            <w:tcW w:type="dxa" w:w="283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Licença</w:t>
            </w:r>
          </w:p>
        </w:tc>
        <w:tc>
          <w:tcPr>
            <w:tcW w:type="dxa" w:w="6236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Apache 2.0</w:t>
            </w:r>
          </w:p>
        </w:tc>
      </w:tr>
      <w:tr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Ano de criação</w:t>
            </w:r>
          </w:p>
        </w:tc>
        <w:tc>
          <w:tcPr>
            <w:tcW w:type="dxa" w:w="623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2019</w:t>
            </w:r>
          </w:p>
        </w:tc>
      </w:tr>
      <w:tr>
        <w:tc>
          <w:tcPr>
            <w:tcW w:type="dxa" w:w="283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Linguagem principal</w:t>
            </w:r>
          </w:p>
        </w:tc>
        <w:tc>
          <w:tcPr>
            <w:tcW w:type="dxa" w:w="6236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Python</w:t>
            </w:r>
          </w:p>
        </w:tc>
      </w:tr>
      <w:tr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Comunidade em 15 set. 2026</w:t>
            </w:r>
          </w:p>
        </w:tc>
        <w:tc>
          <w:tcPr>
            <w:tcW w:type="dxa" w:w="623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aprox. 9,0 mil estrelas, 1,4 mil forks e 17.433 commits</w:t>
            </w:r>
          </w:p>
        </w:tc>
      </w:tr>
      <w:tr>
        <w:tc>
          <w:tcPr>
            <w:tcW w:type="dxa" w:w="283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Release atual na consulta</w:t>
            </w:r>
          </w:p>
        </w:tc>
        <w:tc>
          <w:tcPr>
            <w:tcW w:type="dxa" w:w="6236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v3.3.17, publicada em 10 set. 2026</w:t>
            </w:r>
          </w:p>
        </w:tc>
      </w:tr>
      <w:tr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Versão do laboratório</w:t>
            </w:r>
          </w:p>
        </w:tc>
        <w:tc>
          <w:tcPr>
            <w:tcW w:type="dxa" w:w="623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v3.3.11</w:t>
            </w:r>
          </w:p>
        </w:tc>
      </w:tr>
    </w:tbl>
    <w:p>
      <w:pPr>
        <w:spacing w:after="40"/>
        <w:ind w:firstLine="0"/>
      </w:pP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Checkov é um analisador estático de infraestrutura como código mantido pela Prisma Cloud. O projeto informa mais de mil políticas embutidas e suporte a Terraform, planos Terraform, CloudFormation, Kubernetes, Helm, Kustomize, Dockerfile, Bicep, OpenTofu e arquivos de pipelines [11]. A frequência de releases e o volume de commits mostram atividade contínua; a versão 3.3.17 foi publicada cinco dias antes da consulta [13].</w:t>
      </w:r>
    </w:p>
    <w:p>
      <w:pPr>
        <w:pStyle w:val="Heading2"/>
        <w:ind w:firstLine="0"/>
        <w:keepNext/>
        <w:keepLines/>
      </w:pPr>
      <w:r>
        <w:t>Fundamento técnico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 ferramenta interpreta os arquivos declarativos, cria uma representação dos recursos e aplica políticas Python ou YAML. Algumas verificações examinam atributos locais; outras usam um grafo para avaliar relações, como uma sub-rede ligada a um recurso público. O resultado indica check, recurso, arquivo, linhas, orientação e documentação.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Checkov detecta configurações incompatíveis com boas práticas ou normas codificadas: portas abertas, criptografia ausente, logs desabilitados, containers privilegiados e pipelines permissivas. Ele não prova que o recurso foi implantado, não vê alterações manuais posteriores e pode desconhecer controles externos aplicados pela organização. Variáveis não resolvidas e módulos remotos também afetam precisão.</w:t>
      </w:r>
    </w:p>
    <w:p>
      <w:pPr>
        <w:spacing w:after="80" w:before="2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CHECKOV NA PRÁTICA</w:t>
      </w:r>
    </w:p>
    <w:p>
      <w:pPr>
        <w:pStyle w:val="Heading2"/>
        <w:ind w:firstLine="0"/>
        <w:keepNext/>
        <w:keepLines/>
      </w:pPr>
      <w:r>
        <w:t>Instalação políticas integração e supressões</w:t>
      </w:r>
    </w:p>
    <w:p>
      <w:pPr>
        <w:pStyle w:val="Heading3"/>
        <w:ind w:firstLine="0"/>
        <w:keepNext/>
        <w:keepLines/>
      </w:pPr>
      <w:r>
        <w:t>Instalação e formatos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Checkov pode ser instalado por pip, pipx, Homebrew, Docker e action de CI. O laboratório usou a imagem ghcr.io/bridgecrewio/checkov:3.3.11. A ferramenta gera CLI, JSON, JUnit XML, CSV, SARIF, CycloneDX e Markdown para GitHub, conforme o tipo de scan [11].</w:t>
      </w:r>
    </w:p>
    <w:p>
      <w:pPr>
        <w:spacing w:line="240" w:lineRule="auto" w:before="100" w:after="160"/>
        <w:ind w:left="142" w:right="142" w:firstLine="0"/>
        <w:shd w:fill="F4F6F7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Consolas"/>
          <w:color w:val="000000"/>
          <w:sz w:val="17"/>
        </w:rPr>
        <w:t>docker run --rm `</w:t>
        <w:br/>
        <w:t xml:space="preserve">  -v "${ProjectDir}target/juice-shop/terraform:/tf:ro" `</w:t>
        <w:br/>
        <w:t xml:space="preserve">  ghcr.io/bridgecrewio/checkov:3.3.11 -d /tf `</w:t>
        <w:br/>
        <w:t xml:space="preserve">  --framework terraform --quiet --compact --soft-fail</w:t>
      </w:r>
    </w:p>
    <w:p>
      <w:pPr>
        <w:pStyle w:val="Heading3"/>
        <w:ind w:firstLine="0"/>
        <w:keepNext/>
        <w:keepLines/>
      </w:pPr>
      <w:r>
        <w:t>Políticas gerais sem regra própria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 execução utilizou somente políticas nativas. Nenhuma regra do grupo foi necessária para encontrar problemas. O argumento --framework terraform limitou a tecnologia e --compact reduziu o volume. --soft-fail fez o processo devolver sucesso para que a saída pudesse ser fotografada e analisada; ele não transformou as 24 falhas em aprovações.</w:t>
      </w:r>
    </w:p>
    <w:p>
      <w:pPr>
        <w:pStyle w:val="Heading3"/>
        <w:ind w:firstLine="0"/>
        <w:keepNext/>
        <w:keepLines/>
      </w:pPr>
      <w:r>
        <w:t>Regras próprias e exceções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Políticas personalizadas podem ser escritas em Python ou YAML e carregadas por diretório. Uma regra pode representar um requisito interno que não existe no catálogo. O comentário checkov:skip permite suprimir um check em um recurso, e --skip-check exclui IDs. A justificativa deve acompanhar a exceção. A configuração .checkov.yml centraliza frameworks, formatos, diretórios e política de falha.</w:t>
      </w:r>
    </w:p>
    <w:p>
      <w:pPr>
        <w:pStyle w:val="Heading3"/>
        <w:ind w:firstLine="0"/>
        <w:keepNext/>
        <w:keepLines/>
      </w:pPr>
      <w:r>
        <w:t>CI IDE e pre commit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Checkov possui exemplos de GitHub Actions, GitLab e outros sistemas, integração por SARIF com Code Scanning e suporte a pre-commit. A extensão da Prisma Cloud oferece feedback em VS Code. O melhor ponto de execução é antes do merge e novamente sobre o plano final no estágio de deploy, pois variáveis podem mudar o recurso resultante. Resultados SARIF ou JSON podem ser enviados a plataformas de gestão como DefectDojo.</w:t>
      </w:r>
    </w:p>
    <w:p>
      <w:pPr>
        <w:spacing w:after="80" w:before="2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CHECKOV EXECUTADO</w:t>
      </w:r>
    </w:p>
    <w:p>
      <w:pPr>
        <w:pStyle w:val="Heading2"/>
        <w:ind w:firstLine="0"/>
        <w:keepNext/>
        <w:keepLines/>
      </w:pPr>
      <w:r>
        <w:t>Resultado do Terraform oficial do Juice Shop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scan analisou 26 recursos Terraform e aplicou 66 verificações: 42 passaram, 24 falharam e nenhuma foi ignorada. Não houve erro de parsing. A captura abaixo mostra a execução real e os primeiros controles reprovados.</w:t>
      </w:r>
    </w:p>
    <w:p>
      <w:pPr>
        <w:spacing w:before="80" w:after="0"/>
        <w:ind w:firstLine="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688000" cy="2163385"/>
            <wp:docPr id="3" name="Picture 3" descr="Terminal do PowerShell mostrando Checkov com 42 verificações aprovadas, 24 reprovadas e zero ignoradas" title="Figura 3 Execução real do Checkov no Terra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-checkov-term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6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Arial"/>
          <w:b/>
          <w:color w:val="000000"/>
          <w:sz w:val="18"/>
        </w:rPr>
        <w:t>Figura 3 Execução real do Checkov no Terraform.</w:t>
      </w:r>
      <w:r>
        <w:br/>
      </w:r>
      <w:r>
        <w:rPr>
          <w:rFonts w:ascii="Arial" w:hAnsi="Arial" w:eastAsia="Arial"/>
          <w:color w:val="66737D"/>
          <w:sz w:val="18"/>
        </w:rPr>
        <w:t>Fonte: captura de terminal do Grupo 4, 2026.</w:t>
      </w:r>
    </w:p>
    <w:p>
      <w:r>
        <w:br w:type="page"/>
      </w:r>
    </w:p>
    <w:p>
      <w:pPr>
        <w:pStyle w:val="Heading3"/>
        <w:ind w:firstLine="0"/>
        <w:keepNext/>
        <w:keepLines/>
      </w:pPr>
      <w:r>
        <w:t>Falhas priorizadas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531"/>
        <w:gridCol w:w="2154"/>
        <w:gridCol w:w="2835"/>
        <w:gridCol w:w="2551"/>
      </w:tblGrid>
      <w:tr>
        <w:trPr>
          <w:tblHeader w:val="true"/>
        </w:trPr>
        <w:tc>
          <w:tcPr>
            <w:tcW w:type="dxa" w:w="1531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154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2835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Condição observada</w:t>
            </w:r>
          </w:p>
        </w:tc>
        <w:tc>
          <w:tcPr>
            <w:tcW w:type="dxa" w:w="2551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Tratamento</w:t>
            </w:r>
          </w:p>
        </w:tc>
      </w:tr>
      <w:tr>
        <w:tc>
          <w:tcPr>
            <w:tcW w:type="dxa" w:w="153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CKV_AWS_333</w:t>
            </w:r>
          </w:p>
        </w:tc>
        <w:tc>
          <w:tcPr>
            <w:tcW w:type="dxa" w:w="215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ECS service</w:t>
            </w:r>
          </w:p>
        </w:tc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IP público atribuído</w:t>
            </w:r>
          </w:p>
        </w:tc>
        <w:tc>
          <w:tcPr>
            <w:tcW w:type="dxa" w:w="255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Executar em sub-rede privada</w:t>
            </w:r>
          </w:p>
        </w:tc>
      </w:tr>
      <w:tr>
        <w:tc>
          <w:tcPr>
            <w:tcW w:type="dxa" w:w="153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CKV_AWS_260</w:t>
            </w:r>
          </w:p>
        </w:tc>
        <w:tc>
          <w:tcPr>
            <w:tcW w:type="dxa" w:w="215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Security group ALB</w:t>
            </w:r>
          </w:p>
        </w:tc>
        <w:tc>
          <w:tcPr>
            <w:tcW w:type="dxa" w:w="283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Porta 80 aberta para 0.0.0.0/0</w:t>
            </w:r>
          </w:p>
        </w:tc>
        <w:tc>
          <w:tcPr>
            <w:tcW w:type="dxa" w:w="255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Restringir ou redirecionar</w:t>
            </w:r>
          </w:p>
        </w:tc>
      </w:tr>
      <w:tr>
        <w:tc>
          <w:tcPr>
            <w:tcW w:type="dxa" w:w="153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CKV_AWS_2</w:t>
            </w:r>
          </w:p>
        </w:tc>
        <w:tc>
          <w:tcPr>
            <w:tcW w:type="dxa" w:w="215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ALB listener</w:t>
            </w:r>
          </w:p>
        </w:tc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Protocolo HTTP</w:t>
            </w:r>
          </w:p>
        </w:tc>
        <w:tc>
          <w:tcPr>
            <w:tcW w:type="dxa" w:w="255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Configurar HTTPS e certificado</w:t>
            </w:r>
          </w:p>
        </w:tc>
      </w:tr>
      <w:tr>
        <w:tc>
          <w:tcPr>
            <w:tcW w:type="dxa" w:w="153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CKV_AWS_91</w:t>
            </w:r>
          </w:p>
        </w:tc>
        <w:tc>
          <w:tcPr>
            <w:tcW w:type="dxa" w:w="215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Application Load Balancer</w:t>
            </w:r>
          </w:p>
        </w:tc>
        <w:tc>
          <w:tcPr>
            <w:tcW w:type="dxa" w:w="283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Access logs ausentes</w:t>
            </w:r>
          </w:p>
        </w:tc>
        <w:tc>
          <w:tcPr>
            <w:tcW w:type="dxa" w:w="255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Habilitar logs em bucket protegido</w:t>
            </w:r>
          </w:p>
        </w:tc>
      </w:tr>
      <w:tr>
        <w:tc>
          <w:tcPr>
            <w:tcW w:type="dxa" w:w="153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CKV2_AWS_11</w:t>
            </w:r>
          </w:p>
        </w:tc>
        <w:tc>
          <w:tcPr>
            <w:tcW w:type="dxa" w:w="215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VPC</w:t>
            </w:r>
          </w:p>
        </w:tc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Flow logs ausentes</w:t>
            </w:r>
          </w:p>
        </w:tc>
        <w:tc>
          <w:tcPr>
            <w:tcW w:type="dxa" w:w="255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Habilitar VPC Flow Logs</w:t>
            </w:r>
          </w:p>
        </w:tc>
      </w:tr>
      <w:tr>
        <w:tc>
          <w:tcPr>
            <w:tcW w:type="dxa" w:w="153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CKV2_AWS_28</w:t>
            </w:r>
          </w:p>
        </w:tc>
        <w:tc>
          <w:tcPr>
            <w:tcW w:type="dxa" w:w="215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ALB público</w:t>
            </w:r>
          </w:p>
        </w:tc>
        <w:tc>
          <w:tcPr>
            <w:tcW w:type="dxa" w:w="283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WAF ausente</w:t>
            </w:r>
          </w:p>
        </w:tc>
        <w:tc>
          <w:tcPr>
            <w:tcW w:type="dxa" w:w="255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Associar Web ACL</w:t>
            </w:r>
          </w:p>
        </w:tc>
      </w:tr>
    </w:tbl>
    <w:p>
      <w:pPr>
        <w:spacing w:after="40"/>
        <w:ind w:firstLine="0"/>
      </w:pPr>
    </w:p>
    <w:p>
      <w:pPr>
        <w:pStyle w:val="Heading3"/>
        <w:ind w:firstLine="0"/>
        <w:keepNext/>
        <w:keepLines/>
      </w:pPr>
      <w:r>
        <w:t>Avaliação crítica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Os seis controles priorizados foram confirmados no Terraform e não foram classificados como falsos positivos na amostra. Os 18 restantes não passaram por validação manual completa, portanto não é correto declarar taxa zero para o conjunto inteiro. O tempo aproximado de nove segundos torna o Checkov adequado a pull requests. O ponto forte é a ampla biblioteca de políticas; a limitação é que uma recomendação genérica pode conflitar com arquitetura, compensações ou módulos externos. Alternativas incluem KICS, Terrascan, tfsec incorporado ao Trivy e Conftest/OPA.</w:t>
      </w:r>
    </w:p>
    <w:p>
      <w:pPr>
        <w:spacing w:after="80" w:before="36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DAST</w:t>
      </w:r>
    </w:p>
    <w:p>
      <w:pPr>
        <w:pStyle w:val="Heading1"/>
        <w:ind w:firstLine="0"/>
        <w:keepNext/>
        <w:keepLines/>
      </w:pPr>
      <w:r>
        <w:t>7 OWASP ZAP</w:t>
      </w:r>
    </w:p>
    <w:p>
      <w:pPr>
        <w:pStyle w:val="Heading2"/>
        <w:ind w:firstLine="0"/>
        <w:keepNext/>
        <w:keepLines/>
      </w:pPr>
      <w:r>
        <w:t>Identificação e atividade do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835"/>
        <w:gridCol w:w="6236"/>
      </w:tblGrid>
      <w:tr>
        <w:trPr>
          <w:tblHeader w:val="true"/>
        </w:trPr>
        <w:tc>
          <w:tcPr>
            <w:tcW w:type="dxa" w:w="2835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6236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Mantenedor</w:t>
            </w:r>
          </w:p>
        </w:tc>
        <w:tc>
          <w:tcPr>
            <w:tcW w:type="dxa" w:w="623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ZAP Core Team com apoio da Checkmarx e comunidade</w:t>
            </w:r>
          </w:p>
        </w:tc>
      </w:tr>
      <w:tr>
        <w:tc>
          <w:tcPr>
            <w:tcW w:type="dxa" w:w="283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Licença</w:t>
            </w:r>
          </w:p>
        </w:tc>
        <w:tc>
          <w:tcPr>
            <w:tcW w:type="dxa" w:w="6236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Apache 2.0</w:t>
            </w:r>
          </w:p>
        </w:tc>
      </w:tr>
      <w:tr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Ano de criação</w:t>
            </w:r>
          </w:p>
        </w:tc>
        <w:tc>
          <w:tcPr>
            <w:tcW w:type="dxa" w:w="623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2010</w:t>
            </w:r>
          </w:p>
        </w:tc>
      </w:tr>
      <w:tr>
        <w:tc>
          <w:tcPr>
            <w:tcW w:type="dxa" w:w="283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Linguagem principal</w:t>
            </w:r>
          </w:p>
        </w:tc>
        <w:tc>
          <w:tcPr>
            <w:tcW w:type="dxa" w:w="6236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Java</w:t>
            </w:r>
          </w:p>
        </w:tc>
      </w:tr>
      <w:tr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Comunidade em 15 set. 2026</w:t>
            </w:r>
          </w:p>
        </w:tc>
        <w:tc>
          <w:tcPr>
            <w:tcW w:type="dxa" w:w="623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aprox. 15,8 mil estrelas, 2,6 mil forks e 10.387 commits</w:t>
            </w:r>
          </w:p>
        </w:tc>
      </w:tr>
      <w:tr>
        <w:tc>
          <w:tcPr>
            <w:tcW w:type="dxa" w:w="283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Release estável atual e executada</w:t>
            </w:r>
          </w:p>
        </w:tc>
        <w:tc>
          <w:tcPr>
            <w:tcW w:type="dxa" w:w="6236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v2.17.0, publicada em 15 dez. 2025</w:t>
            </w:r>
          </w:p>
        </w:tc>
      </w:tr>
      <w:tr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Cadência adicional</w:t>
            </w:r>
          </w:p>
        </w:tc>
        <w:tc>
          <w:tcPr>
            <w:tcW w:type="dxa" w:w="6236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builds weekly e add-ons atualizados separadamente</w:t>
            </w:r>
          </w:p>
        </w:tc>
      </w:tr>
    </w:tbl>
    <w:p>
      <w:pPr>
        <w:spacing w:after="40"/>
        <w:ind w:firstLine="0"/>
      </w:pP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ZAP é um proxy de interceptação e scanner de aplicações web mantido pelo ZAP Core Team [14]. Pode ser usado de forma interativa por analistas ou de modo headless em CI. A release 2.17.0 introduziu melhorias de desempenho e redução de alertas duplicados [17]. O ecossistema de add-ons atualiza spiders, regras e integrações sem depender somente de uma nova versão do core.</w:t>
      </w:r>
    </w:p>
    <w:p>
      <w:pPr>
        <w:pStyle w:val="Heading2"/>
        <w:ind w:firstLine="0"/>
        <w:keepNext/>
        <w:keepLines/>
      </w:pPr>
      <w:r>
        <w:t>Fundamento técnico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DAST observa HTTP e HTTPS sem ler o código-fonte. O spider tradicional segue links e formulários; o AJAX spider controla um navegador para aplicações modernas; o passive scanner analisa mensagens sem alterar requisições; o active scanner envia payloads e procura diferenças compatíveis com vulnerabilidades. O fuzzer permite variar entradas de forma controlada.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ZAP detecta cabeçalhos ausentes, exposição de informações, configurações de cookie, injeções e outras falhas alcançáveis pelas rotas descobertas. Ele não encontra código não exposto, depende de autenticação e navegação adequadas e pode interpretar uma resposta anormal como vulnerabilidade. Rate limits, dados destrutivos e estados de negócio exigem configuração cuidadosa.</w:t>
      </w:r>
    </w:p>
    <w:p>
      <w:pPr>
        <w:spacing w:after="80" w:before="2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ZAP NA PRÁTICA</w:t>
      </w:r>
    </w:p>
    <w:p>
      <w:pPr>
        <w:pStyle w:val="Heading2"/>
        <w:ind w:firstLine="0"/>
        <w:keepNext/>
        <w:keepLines/>
      </w:pPr>
      <w:r>
        <w:t>Automação regras integração e controle de escopo</w:t>
      </w:r>
    </w:p>
    <w:p>
      <w:pPr>
        <w:pStyle w:val="Heading3"/>
        <w:ind w:firstLine="0"/>
        <w:keepNext/>
        <w:keepLines/>
      </w:pPr>
      <w:r>
        <w:t>Formas de instalação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ZAP oferece instaladores, pacotes multiplataforma, Snap, Flatpak e imagens Docker. O laboratório usou ghcr.io/zaproxy/zaproxy:2.17.0. O Automation Framework lê um plano YAML com contexto, spiders, scanners, relatórios e exit status [15]. As saídas preservadas foram HTML, JSON e SARIF.</w:t>
      </w:r>
    </w:p>
    <w:p>
      <w:pPr>
        <w:pStyle w:val="Heading3"/>
        <w:ind w:firstLine="0"/>
        <w:keepNext/>
        <w:keepLines/>
      </w:pPr>
      <w:r>
        <w:t>Plano sem regra de detecção própria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arquivo security/zap-juice-shop.yaml não cria uma assinatura. Ele define URL, contexto, duração e seleciona duas regras ativas já fornecidas pelo ZAP: 40012 para XSS refletido e 40018 para SQL Injection. Portanto, a detecção é geral e nativa; o YAML apenas torna a execução previsível para o laboratório.</w:t>
      </w:r>
    </w:p>
    <w:p>
      <w:pPr>
        <w:spacing w:line="240" w:lineRule="auto" w:before="100" w:after="160"/>
        <w:ind w:left="142" w:right="142" w:firstLine="0"/>
        <w:shd w:fill="F4F6F7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Consolas"/>
          <w:color w:val="000000"/>
          <w:sz w:val="17"/>
        </w:rPr>
        <w:t>jobs:</w:t>
        <w:br/>
        <w:t xml:space="preserve">  - type: spider</w:t>
        <w:br/>
        <w:t xml:space="preserve">    parameters: { maxDuration: 1 }</w:t>
        <w:br/>
        <w:t xml:space="preserve">  - type: spiderAjax</w:t>
        <w:br/>
        <w:t xml:space="preserve">    parameters: { maxDuration: 2, maxCrawlDepth: 5 }</w:t>
        <w:br/>
        <w:t xml:space="preserve">  - type: activeScan</w:t>
        <w:br/>
        <w:t xml:space="preserve">    parameters: { maxScanDurationInMins: 4 }</w:t>
        <w:br/>
        <w:t xml:space="preserve">    policyDefinition:</w:t>
        <w:br/>
        <w:t xml:space="preserve">      rules: [ { id: 40012 }, { id: 40018 } ]</w:t>
      </w:r>
    </w:p>
    <w:p>
      <w:pPr>
        <w:pStyle w:val="Heading3"/>
        <w:ind w:firstLine="0"/>
        <w:keepNext/>
        <w:keepLines/>
      </w:pPr>
      <w:r>
        <w:t>Integração e supressões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ZAP pode rodar por baseline scan, full scan, API scan, Automation Framework e GitHub Action. SARIF integra os achados ao Code Scanning, e relatórios ZAP podem ser importados no DefectDojo. A ferramenta não é adequada a pre-commit, pois exige aplicação ativa. Em IDE, o uso é indireto por proxy e testes manuais. Falsos positivos podem ser tratados com alert filters no contexto; a exceção deve indicar URL, regra, evidência e validade.</w:t>
      </w:r>
    </w:p>
    <w:p>
      <w:pPr>
        <w:pStyle w:val="Heading3"/>
        <w:ind w:firstLine="0"/>
        <w:keepNext/>
        <w:keepLines/>
      </w:pPr>
      <w:r>
        <w:t>Segurança operacional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Active scan envia payloads potencialmente destrutivos. O alvo deve ser autorizado, isolado e descartável. Contas de teste e dados sintéticos evitam dano. O plano do grupo usa rede local, limite de tempo e apenas duas regras ativas para caber na apresentação.</w:t>
      </w:r>
    </w:p>
    <w:p>
      <w:pPr>
        <w:spacing w:after="80" w:before="2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OWASP ZAP EXECUTADO</w:t>
      </w:r>
    </w:p>
    <w:p>
      <w:pPr>
        <w:pStyle w:val="Heading2"/>
        <w:ind w:firstLine="0"/>
        <w:keepNext/>
        <w:keepLines/>
      </w:pPr>
      <w:r>
        <w:t>Resultados do scan dinâmico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spider tradicional encontrou 101 URLs em 18 segundos. O AJAX spider encontrou 234 URLs em 37 segundos. O active scan durou 3 minutos e 48 segundos. O relatório consolidou 11 tipos de alerta em 39 instâncias: 1 High, 4 Medium, 3 Low e 3 Informational. O gate encontrou um bloqueador e rejeitou o cenário.</w:t>
      </w:r>
    </w:p>
    <w:p>
      <w:pPr>
        <w:spacing w:before="80" w:after="0"/>
        <w:ind w:firstLine="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4" name="Picture 4" descr="Relatório HTML do ZAP mostrando um alerta High, quatro Medium, três Low e três Informational" title="Figura 4 Resumo HTML real do OWASP Z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-zap-resum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Arial"/>
          <w:b/>
          <w:color w:val="000000"/>
          <w:sz w:val="18"/>
        </w:rPr>
        <w:t>Figura 4 Resumo HTML real do OWASP ZAP.</w:t>
      </w:r>
      <w:r>
        <w:br/>
      </w:r>
      <w:r>
        <w:rPr>
          <w:rFonts w:ascii="Arial" w:hAnsi="Arial" w:eastAsia="Arial"/>
          <w:color w:val="66737D"/>
          <w:sz w:val="18"/>
        </w:rPr>
        <w:t>Fonte: relatório gerado pelo Grupo 4,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247"/>
        <w:gridCol w:w="1247"/>
        <w:gridCol w:w="3798"/>
        <w:gridCol w:w="1304"/>
        <w:gridCol w:w="1474"/>
      </w:tblGrid>
      <w:tr>
        <w:trPr>
          <w:tblHeader w:val="true"/>
        </w:trPr>
        <w:tc>
          <w:tcPr>
            <w:tcW w:type="dxa" w:w="1247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Risco</w:t>
            </w:r>
          </w:p>
        </w:tc>
        <w:tc>
          <w:tcPr>
            <w:tcW w:type="dxa" w:w="1247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Plugin</w:t>
            </w:r>
          </w:p>
        </w:tc>
        <w:tc>
          <w:tcPr>
            <w:tcW w:type="dxa" w:w="3798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Alerta</w:t>
            </w:r>
          </w:p>
        </w:tc>
        <w:tc>
          <w:tcPr>
            <w:tcW w:type="dxa" w:w="1304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Instâncias</w:t>
            </w:r>
          </w:p>
        </w:tc>
        <w:tc>
          <w:tcPr>
            <w:tcW w:type="dxa" w:w="1474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Confiança</w:t>
            </w:r>
          </w:p>
        </w:tc>
      </w:tr>
      <w:tr>
        <w:tc>
          <w:tcPr>
            <w:tcW w:type="dxa" w:w="124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High</w:t>
            </w:r>
          </w:p>
        </w:tc>
        <w:tc>
          <w:tcPr>
            <w:tcW w:type="dxa" w:w="124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40018</w:t>
            </w:r>
          </w:p>
        </w:tc>
        <w:tc>
          <w:tcPr>
            <w:tcW w:type="dxa" w:w="379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SQL Injection</w:t>
            </w:r>
          </w:p>
        </w:tc>
        <w:tc>
          <w:tcPr>
            <w:tcW w:type="dxa" w:w="130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47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Low</w:t>
            </w:r>
          </w:p>
        </w:tc>
      </w:tr>
      <w:tr>
        <w:tc>
          <w:tcPr>
            <w:tcW w:type="dxa" w:w="124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Medium</w:t>
            </w:r>
          </w:p>
        </w:tc>
        <w:tc>
          <w:tcPr>
            <w:tcW w:type="dxa" w:w="124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10038</w:t>
            </w:r>
          </w:p>
        </w:tc>
        <w:tc>
          <w:tcPr>
            <w:tcW w:type="dxa" w:w="379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CSP Header Not Set</w:t>
            </w:r>
          </w:p>
        </w:tc>
        <w:tc>
          <w:tcPr>
            <w:tcW w:type="dxa" w:w="130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47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High</w:t>
            </w:r>
          </w:p>
        </w:tc>
      </w:tr>
      <w:tr>
        <w:tc>
          <w:tcPr>
            <w:tcW w:type="dxa" w:w="124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Medium</w:t>
            </w:r>
          </w:p>
        </w:tc>
        <w:tc>
          <w:tcPr>
            <w:tcW w:type="dxa" w:w="124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10098</w:t>
            </w:r>
          </w:p>
        </w:tc>
        <w:tc>
          <w:tcPr>
            <w:tcW w:type="dxa" w:w="379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Cross-Domain Misconfiguration</w:t>
            </w:r>
          </w:p>
        </w:tc>
        <w:tc>
          <w:tcPr>
            <w:tcW w:type="dxa" w:w="130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47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124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Medium</w:t>
            </w:r>
          </w:p>
        </w:tc>
        <w:tc>
          <w:tcPr>
            <w:tcW w:type="dxa" w:w="1247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10020</w:t>
            </w:r>
          </w:p>
        </w:tc>
        <w:tc>
          <w:tcPr>
            <w:tcW w:type="dxa" w:w="379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Missing Anti-clickjacking Header</w:t>
            </w:r>
          </w:p>
        </w:tc>
        <w:tc>
          <w:tcPr>
            <w:tcW w:type="dxa" w:w="130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47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124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Medium</w:t>
            </w:r>
          </w:p>
        </w:tc>
        <w:tc>
          <w:tcPr>
            <w:tcW w:type="dxa" w:w="1247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79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Session ID in URL Rewrite</w:t>
            </w:r>
          </w:p>
        </w:tc>
        <w:tc>
          <w:tcPr>
            <w:tcW w:type="dxa" w:w="130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47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High</w:t>
            </w:r>
          </w:p>
        </w:tc>
      </w:tr>
    </w:tbl>
    <w:p>
      <w:pPr>
        <w:spacing w:after="40"/>
        <w:ind w:firstLine="0"/>
      </w:pP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 confiança baixa do alerta SQL Injection impede tratá-lo isoladamente como prova. A correlação com o Semgrep mostra o mesmo parâmetro chegando a uma consulta interpolada e sustenta a classificação como verdadeiro positivo. Entre os três alertas revisados manualmente, nenhum foi descartado como falso positivo; os oito restantes não foram integralmente reproduzidos. O principal ponto forte do ZAP é observar o sistema montado. As limitações são tempo, cobertura de navegação, autenticação e ruído. Alternativas incluem Wapiti, Nuclei e Nikto, com escopos e técnicas diferentes.</w:t>
      </w:r>
    </w:p>
    <w:p>
      <w:pPr>
        <w:spacing w:after="80" w:before="36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VERDADEIROS E FALSOS POSITIVOS</w:t>
      </w:r>
    </w:p>
    <w:p>
      <w:pPr>
        <w:pStyle w:val="Heading1"/>
        <w:ind w:firstLine="0"/>
        <w:keepNext/>
        <w:keepLines/>
      </w:pPr>
      <w:r>
        <w:t>8 Análise dos achados</w:t>
      </w:r>
    </w:p>
    <w:p>
      <w:pPr>
        <w:pStyle w:val="Heading2"/>
        <w:ind w:firstLine="0"/>
        <w:keepNext/>
        <w:keepLines/>
      </w:pPr>
      <w:r>
        <w:t>Achado 1 SQL Injection na busca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6803"/>
      </w:tblGrid>
      <w:tr>
        <w:trPr>
          <w:tblHeader w:val="true"/>
        </w:trPr>
        <w:tc>
          <w:tcPr>
            <w:tcW w:type="dxa" w:w="2268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Análise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Evidência</w:t>
            </w:r>
          </w:p>
        </w:tc>
        <w:tc>
          <w:tcPr>
            <w:tcW w:type="dxa" w:w="680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Semgrep em routes/search.ts:23 e ZAP plugin 40018 no parâmetro q</w:t>
            </w:r>
          </w:p>
        </w:tc>
      </w:tr>
      <w:tr>
        <w:tc>
          <w:tcPr>
            <w:tcW w:type="dxa" w:w="226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Classificação</w:t>
            </w:r>
          </w:p>
        </w:tc>
        <w:tc>
          <w:tcPr>
            <w:tcW w:type="dxa" w:w="680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Verdadeiro positivo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CWE</w:t>
            </w:r>
          </w:p>
        </w:tc>
        <w:tc>
          <w:tcPr>
            <w:tcW w:type="dxa" w:w="680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CWE-89 Improper Neutralization of Special Elements used in an SQL Command</w:t>
            </w:r>
          </w:p>
        </w:tc>
      </w:tr>
      <w:tr>
        <w:tc>
          <w:tcPr>
            <w:tcW w:type="dxa" w:w="226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Impacto</w:t>
            </w:r>
          </w:p>
        </w:tc>
        <w:tc>
          <w:tcPr>
            <w:tcW w:type="dxa" w:w="680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Alteração da lógica da consulta e possível acesso indevido a dados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Correção</w:t>
            </w:r>
          </w:p>
        </w:tc>
        <w:tc>
          <w:tcPr>
            <w:tcW w:type="dxa" w:w="680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Consulta parametrizada com :criteria e replacements; menor privilégio no banco</w:t>
            </w:r>
          </w:p>
        </w:tc>
      </w:tr>
      <w:tr>
        <w:tc>
          <w:tcPr>
            <w:tcW w:type="dxa" w:w="226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Validação</w:t>
            </w:r>
          </w:p>
        </w:tc>
        <w:tc>
          <w:tcPr>
            <w:tcW w:type="dxa" w:w="680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Semgrep green sem achados no arquivo corrigido; novo DAST recomendado</w:t>
            </w:r>
          </w:p>
        </w:tc>
      </w:tr>
    </w:tbl>
    <w:p>
      <w:pPr>
        <w:spacing w:after="40"/>
        <w:ind w:firstLine="0"/>
      </w:pP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código concatenava criteria dentro de um template SQL. O ZAP enviou um payload ao endpoint e observou resposta compatível com injeção, porém marcou confiança baixa. A evidência estática remove a principal ambiguidade do alerta dinâmico. A correção aplicada segue o princípio de separar dados e comando; escape manual ou blacklist de caracteres não oferecem a mesma garantia [4][19].</w:t>
      </w:r>
    </w:p>
    <w:p>
      <w:pPr>
        <w:pStyle w:val="Heading2"/>
        <w:ind w:firstLine="0"/>
        <w:keepNext/>
        <w:keepLines/>
      </w:pPr>
      <w:r>
        <w:t>Achado 2 listener HTTP no load balancer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6803"/>
      </w:tblGrid>
      <w:tr>
        <w:trPr>
          <w:tblHeader w:val="true"/>
        </w:trPr>
        <w:tc>
          <w:tcPr>
            <w:tcW w:type="dxa" w:w="2268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Análise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Evidência</w:t>
            </w:r>
          </w:p>
        </w:tc>
        <w:tc>
          <w:tcPr>
            <w:tcW w:type="dxa" w:w="680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Checkov CKV_AWS_2 em aws_lb_listener.http</w:t>
            </w:r>
          </w:p>
        </w:tc>
      </w:tr>
      <w:tr>
        <w:tc>
          <w:tcPr>
            <w:tcW w:type="dxa" w:w="226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Classificação</w:t>
            </w:r>
          </w:p>
        </w:tc>
        <w:tc>
          <w:tcPr>
            <w:tcW w:type="dxa" w:w="680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Verdadeiro positivo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CWE</w:t>
            </w:r>
          </w:p>
        </w:tc>
        <w:tc>
          <w:tcPr>
            <w:tcW w:type="dxa" w:w="680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CWE-319 Cleartext Transmission of Sensitive Information</w:t>
            </w:r>
          </w:p>
        </w:tc>
      </w:tr>
      <w:tr>
        <w:tc>
          <w:tcPr>
            <w:tcW w:type="dxa" w:w="226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Impacto</w:t>
            </w:r>
          </w:p>
        </w:tc>
        <w:tc>
          <w:tcPr>
            <w:tcW w:type="dxa" w:w="680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Tráfego e credenciais podem ser expostos ou alterados em trânsito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Correção</w:t>
            </w:r>
          </w:p>
        </w:tc>
        <w:tc>
          <w:tcPr>
            <w:tcW w:type="dxa" w:w="680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Listener HTTPS com certificado; redirecionamento permanente de HTTP para HTTPS</w:t>
            </w:r>
          </w:p>
        </w:tc>
      </w:tr>
      <w:tr>
        <w:tc>
          <w:tcPr>
            <w:tcW w:type="dxa" w:w="226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Validação</w:t>
            </w:r>
          </w:p>
        </w:tc>
        <w:tc>
          <w:tcPr>
            <w:tcW w:type="dxa" w:w="680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Reexecutar Checkov no plano e testar redirecionamento no ambiente</w:t>
            </w:r>
          </w:p>
        </w:tc>
      </w:tr>
    </w:tbl>
    <w:p>
      <w:pPr>
        <w:spacing w:after="40"/>
        <w:ind w:firstLine="0"/>
      </w:pP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Terraform define um listener HTTP e um target group HTTP. Como o recurso está voltado para exposição pública, a ausência de TLS no frontend não é apenas uma preferência de política. A correção deve incluir certificado válido e redirecionamento, além de confirmar se o tráfego interno também precisa de criptografia.</w:t>
      </w:r>
    </w:p>
    <w:p>
      <w:pPr>
        <w:spacing w:after="80" w:before="2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TRIAGEM DE CONTEXTO</w:t>
      </w:r>
    </w:p>
    <w:p>
      <w:pPr>
        <w:pStyle w:val="Heading2"/>
        <w:ind w:firstLine="0"/>
        <w:keepNext/>
        <w:keepLines/>
      </w:pPr>
      <w:r>
        <w:t>Achado 3 ocorrência em snippet didático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6803"/>
      </w:tblGrid>
      <w:tr>
        <w:trPr>
          <w:tblHeader w:val="true"/>
        </w:trPr>
        <w:tc>
          <w:tcPr>
            <w:tcW w:type="dxa" w:w="2268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Análise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Evidência</w:t>
            </w:r>
          </w:p>
        </w:tc>
        <w:tc>
          <w:tcPr>
            <w:tcW w:type="dxa" w:w="680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Regra comunitária do Semgrep em data/static/codefixes/unionSqlInjectionChallenge_1.ts</w:t>
            </w:r>
          </w:p>
        </w:tc>
      </w:tr>
      <w:tr>
        <w:tc>
          <w:tcPr>
            <w:tcW w:type="dxa" w:w="226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Classificação</w:t>
            </w:r>
          </w:p>
        </w:tc>
        <w:tc>
          <w:tcPr>
            <w:tcW w:type="dxa" w:w="680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Falso positivo operacional para o código implantado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CWE</w:t>
            </w:r>
          </w:p>
        </w:tc>
        <w:tc>
          <w:tcPr>
            <w:tcW w:type="dxa" w:w="680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CWE-89 no padrão sintático encontrado</w:t>
            </w:r>
          </w:p>
        </w:tc>
      </w:tr>
      <w:tr>
        <w:tc>
          <w:tcPr>
            <w:tcW w:type="dxa" w:w="226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Justificativa</w:t>
            </w:r>
          </w:p>
        </w:tc>
        <w:tc>
          <w:tcPr>
            <w:tcW w:type="dxa" w:w="680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O arquivo é um exemplo didático armazenado como conteúdo de desafio, não uma rota executada pelo servidor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Tratamento</w:t>
            </w:r>
          </w:p>
        </w:tc>
        <w:tc>
          <w:tcPr>
            <w:tcW w:type="dxa" w:w="680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Excluir o caminho didático do gate, sem remover a regra das rotas reais</w:t>
            </w:r>
          </w:p>
        </w:tc>
      </w:tr>
      <w:tr>
        <w:tc>
          <w:tcPr>
            <w:tcW w:type="dxa" w:w="226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Validação</w:t>
            </w:r>
          </w:p>
        </w:tc>
        <w:tc>
          <w:tcPr>
            <w:tcW w:type="dxa" w:w="680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Confirmar no build que o arquivo não compõe o bundle executável</w:t>
            </w:r>
          </w:p>
        </w:tc>
      </w:tr>
    </w:tbl>
    <w:p>
      <w:pPr>
        <w:spacing w:after="40"/>
        <w:ind w:firstLine="0"/>
      </w:pP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 regra encontrou corretamente uma construção insegura, mas o contexto muda a decisão. Classificar o item como falso positivo operacional não significa que a regra está errada; significa que o arquivo não representa uma superfície executável no alvo. Uma exclusão precisa ser específica para data/static/codefixes. Ignorar toda ocorrência de SQL Injection ocultaria routes/search.ts e routes/login.ts.</w:t>
      </w:r>
    </w:p>
    <w:p>
      <w:pPr>
        <w:pStyle w:val="Heading2"/>
        <w:ind w:firstLine="0"/>
        <w:keepNext/>
        <w:keepLines/>
      </w:pPr>
      <w:r>
        <w:t>Resumo da triagem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38"/>
        <w:gridCol w:w="1701"/>
        <w:gridCol w:w="1531"/>
        <w:gridCol w:w="1304"/>
        <w:gridCol w:w="2098"/>
      </w:tblGrid>
      <w:tr>
        <w:trPr>
          <w:tblHeader w:val="true"/>
        </w:trPr>
        <w:tc>
          <w:tcPr>
            <w:tcW w:type="dxa" w:w="2438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Achado</w:t>
            </w:r>
          </w:p>
        </w:tc>
        <w:tc>
          <w:tcPr>
            <w:tcW w:type="dxa" w:w="1701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Ferramenta</w:t>
            </w:r>
          </w:p>
        </w:tc>
        <w:tc>
          <w:tcPr>
            <w:tcW w:type="dxa" w:w="1531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VP ou FP</w:t>
            </w:r>
          </w:p>
        </w:tc>
        <w:tc>
          <w:tcPr>
            <w:tcW w:type="dxa" w:w="1304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2098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Próxima ação</w:t>
            </w:r>
          </w:p>
        </w:tc>
      </w:tr>
      <w:tr>
        <w:tc>
          <w:tcPr>
            <w:tcW w:type="dxa" w:w="243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SQL Injection na busca</w:t>
            </w:r>
          </w:p>
        </w:tc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Semgrep e ZAP</w:t>
            </w:r>
          </w:p>
        </w:tc>
        <w:tc>
          <w:tcPr>
            <w:tcW w:type="dxa" w:w="153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VP</w:t>
            </w:r>
          </w:p>
        </w:tc>
        <w:tc>
          <w:tcPr>
            <w:tcW w:type="dxa" w:w="130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Alta</w:t>
            </w:r>
          </w:p>
        </w:tc>
        <w:tc>
          <w:tcPr>
            <w:tcW w:type="dxa" w:w="209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Parametrizar e retestar</w:t>
            </w:r>
          </w:p>
        </w:tc>
      </w:tr>
      <w:tr>
        <w:tc>
          <w:tcPr>
            <w:tcW w:type="dxa" w:w="243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Listener HTTP</w:t>
            </w:r>
          </w:p>
        </w:tc>
        <w:tc>
          <w:tcPr>
            <w:tcW w:type="dxa" w:w="170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Checkov</w:t>
            </w:r>
          </w:p>
        </w:tc>
        <w:tc>
          <w:tcPr>
            <w:tcW w:type="dxa" w:w="153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VP</w:t>
            </w:r>
          </w:p>
        </w:tc>
        <w:tc>
          <w:tcPr>
            <w:tcW w:type="dxa" w:w="130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Alta</w:t>
            </w:r>
          </w:p>
        </w:tc>
        <w:tc>
          <w:tcPr>
            <w:tcW w:type="dxa" w:w="209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HTTPS e redirecionamento</w:t>
            </w:r>
          </w:p>
        </w:tc>
      </w:tr>
      <w:tr>
        <w:tc>
          <w:tcPr>
            <w:tcW w:type="dxa" w:w="243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SQLi em codefix didático</w:t>
            </w:r>
          </w:p>
        </w:tc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Semgrep</w:t>
            </w:r>
          </w:p>
        </w:tc>
        <w:tc>
          <w:tcPr>
            <w:tcW w:type="dxa" w:w="153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FP operacional</w:t>
            </w:r>
          </w:p>
        </w:tc>
        <w:tc>
          <w:tcPr>
            <w:tcW w:type="dxa" w:w="130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Baixa</w:t>
            </w:r>
          </w:p>
        </w:tc>
        <w:tc>
          <w:tcPr>
            <w:tcW w:type="dxa" w:w="209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Excluir somente o caminho</w:t>
            </w:r>
          </w:p>
        </w:tc>
      </w:tr>
    </w:tbl>
    <w:p>
      <w:pPr>
        <w:spacing w:after="40"/>
        <w:ind w:firstLine="0"/>
      </w:pPr>
    </w:p>
    <w:p>
      <w:pPr>
        <w:pStyle w:val="Heading2"/>
        <w:ind w:firstLine="0"/>
        <w:keepNext/>
        <w:keepLines/>
      </w:pPr>
      <w:r>
        <w:t>Critério de análise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 classificação considerou existência da condição, alcance no artefato implantado, evidência independente e possibilidade de reprodução. O mesmo alerta pode mudar de prioridade quando a exposição, o dado processado ou um controle compensatório muda. Por isso, a triagem deve permanecer associada à versão do código e do ambiente.</w:t>
      </w:r>
    </w:p>
    <w:p>
      <w:pPr>
        <w:spacing w:after="80" w:before="36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AVALIAÇÃO TRANSVERSAL</w:t>
      </w:r>
    </w:p>
    <w:p>
      <w:pPr>
        <w:pStyle w:val="Heading1"/>
        <w:ind w:firstLine="0"/>
        <w:keepNext/>
        <w:keepLines/>
      </w:pPr>
      <w:r>
        <w:t>9 Comparação e escolha do toolchain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01"/>
        <w:gridCol w:w="1843"/>
        <w:gridCol w:w="1843"/>
        <w:gridCol w:w="1843"/>
        <w:gridCol w:w="1843"/>
      </w:tblGrid>
      <w:tr>
        <w:trPr>
          <w:tblHeader w:val="true"/>
        </w:trPr>
        <w:tc>
          <w:tcPr>
            <w:tcW w:type="dxa" w:w="1701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Critério</w:t>
            </w:r>
          </w:p>
        </w:tc>
        <w:tc>
          <w:tcPr>
            <w:tcW w:type="dxa" w:w="1843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Semgrep</w:t>
            </w:r>
          </w:p>
        </w:tc>
        <w:tc>
          <w:tcPr>
            <w:tcW w:type="dxa" w:w="1843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Dependency Check</w:t>
            </w:r>
          </w:p>
        </w:tc>
        <w:tc>
          <w:tcPr>
            <w:tcW w:type="dxa" w:w="1843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Checkov</w:t>
            </w:r>
          </w:p>
        </w:tc>
        <w:tc>
          <w:tcPr>
            <w:tcW w:type="dxa" w:w="1843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OWASP ZAP</w:t>
            </w:r>
          </w:p>
        </w:tc>
      </w:tr>
      <w:tr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Entrada</w:t>
            </w:r>
          </w:p>
        </w:tc>
        <w:tc>
          <w:tcPr>
            <w:tcW w:type="dxa" w:w="184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Código</w:t>
            </w:r>
          </w:p>
        </w:tc>
        <w:tc>
          <w:tcPr>
            <w:tcW w:type="dxa" w:w="184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Dependências</w:t>
            </w:r>
          </w:p>
        </w:tc>
        <w:tc>
          <w:tcPr>
            <w:tcW w:type="dxa" w:w="184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IaC</w:t>
            </w:r>
          </w:p>
        </w:tc>
        <w:tc>
          <w:tcPr>
            <w:tcW w:type="dxa" w:w="184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Aplicação ativa</w:t>
            </w:r>
          </w:p>
        </w:tc>
      </w:tr>
      <w:tr>
        <w:tc>
          <w:tcPr>
            <w:tcW w:type="dxa" w:w="170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Técnica</w:t>
            </w:r>
          </w:p>
        </w:tc>
        <w:tc>
          <w:tcPr>
            <w:tcW w:type="dxa" w:w="184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AST, padrões e taint</w:t>
            </w:r>
          </w:p>
        </w:tc>
        <w:tc>
          <w:tcPr>
            <w:tcW w:type="dxa" w:w="184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Evidência, CPE e CVE</w:t>
            </w:r>
          </w:p>
        </w:tc>
        <w:tc>
          <w:tcPr>
            <w:tcW w:type="dxa" w:w="184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Políticas e grafo</w:t>
            </w:r>
          </w:p>
        </w:tc>
        <w:tc>
          <w:tcPr>
            <w:tcW w:type="dxa" w:w="184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Spider, proxy e payloads</w:t>
            </w:r>
          </w:p>
        </w:tc>
      </w:tr>
      <w:tr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Velocidade no laboratório</w:t>
            </w:r>
          </w:p>
        </w:tc>
        <w:tc>
          <w:tcPr>
            <w:tcW w:type="dxa" w:w="184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~3 min geral</w:t>
            </w:r>
          </w:p>
        </w:tc>
        <w:tc>
          <w:tcPr>
            <w:tcW w:type="dxa" w:w="184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7 s</w:t>
            </w:r>
          </w:p>
        </w:tc>
        <w:tc>
          <w:tcPr>
            <w:tcW w:type="dxa" w:w="184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~9 s</w:t>
            </w:r>
          </w:p>
        </w:tc>
        <w:tc>
          <w:tcPr>
            <w:tcW w:type="dxa" w:w="184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~4 min 48 s</w:t>
            </w:r>
          </w:p>
        </w:tc>
      </w:tr>
      <w:tr>
        <w:tc>
          <w:tcPr>
            <w:tcW w:type="dxa" w:w="170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Formato principal</w:t>
            </w:r>
          </w:p>
        </w:tc>
        <w:tc>
          <w:tcPr>
            <w:tcW w:type="dxa" w:w="184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JSON e SARIF</w:t>
            </w:r>
          </w:p>
        </w:tc>
        <w:tc>
          <w:tcPr>
            <w:tcW w:type="dxa" w:w="184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HTML, JSON e SARIF</w:t>
            </w:r>
          </w:p>
        </w:tc>
        <w:tc>
          <w:tcPr>
            <w:tcW w:type="dxa" w:w="184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CLI, JSON e SARIF</w:t>
            </w:r>
          </w:p>
        </w:tc>
        <w:tc>
          <w:tcPr>
            <w:tcW w:type="dxa" w:w="184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HTML, JSON e SARIF</w:t>
            </w:r>
          </w:p>
        </w:tc>
      </w:tr>
      <w:tr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Melhor estágio</w:t>
            </w:r>
          </w:p>
        </w:tc>
        <w:tc>
          <w:tcPr>
            <w:tcW w:type="dxa" w:w="184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Code e Build</w:t>
            </w:r>
          </w:p>
        </w:tc>
        <w:tc>
          <w:tcPr>
            <w:tcW w:type="dxa" w:w="184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Build</w:t>
            </w:r>
          </w:p>
        </w:tc>
        <w:tc>
          <w:tcPr>
            <w:tcW w:type="dxa" w:w="184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Code e Deploy</w:t>
            </w:r>
          </w:p>
        </w:tc>
        <w:tc>
          <w:tcPr>
            <w:tcW w:type="dxa" w:w="184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Test e Release</w:t>
            </w:r>
          </w:p>
        </w:tc>
      </w:tr>
      <w:tr>
        <w:tc>
          <w:tcPr>
            <w:tcW w:type="dxa" w:w="170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Limitação observada</w:t>
            </w:r>
          </w:p>
        </w:tc>
        <w:tc>
          <w:tcPr>
            <w:tcW w:type="dxa" w:w="184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Ruído em snippets</w:t>
            </w:r>
          </w:p>
        </w:tc>
        <w:tc>
          <w:tcPr>
            <w:tcW w:type="dxa" w:w="184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Inventário incompleto</w:t>
            </w:r>
          </w:p>
        </w:tc>
        <w:tc>
          <w:tcPr>
            <w:tcW w:type="dxa" w:w="184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Política sem contexto</w:t>
            </w:r>
          </w:p>
        </w:tc>
        <w:tc>
          <w:tcPr>
            <w:tcW w:type="dxa" w:w="1843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Cobertura e confiança</w:t>
            </w:r>
          </w:p>
        </w:tc>
      </w:tr>
      <w:tr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Resultado</w:t>
            </w:r>
          </w:p>
        </w:tc>
        <w:tc>
          <w:tcPr>
            <w:tcW w:type="dxa" w:w="184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69 geral; red 1 e green 0</w:t>
            </w:r>
          </w:p>
        </w:tc>
        <w:tc>
          <w:tcPr>
            <w:tcW w:type="dxa" w:w="184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0 CVEs, inconclusivo</w:t>
            </w:r>
          </w:p>
        </w:tc>
        <w:tc>
          <w:tcPr>
            <w:tcW w:type="dxa" w:w="184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42 pass e 24 fail</w:t>
            </w:r>
          </w:p>
        </w:tc>
        <w:tc>
          <w:tcPr>
            <w:tcW w:type="dxa" w:w="184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11 tipos; 1 High</w:t>
            </w:r>
          </w:p>
        </w:tc>
      </w:tr>
    </w:tbl>
    <w:p>
      <w:pPr>
        <w:spacing w:after="40"/>
        <w:ind w:firstLine="0"/>
      </w:pPr>
    </w:p>
    <w:p>
      <w:pPr>
        <w:pStyle w:val="Heading2"/>
        <w:ind w:firstLine="0"/>
        <w:keepNext/>
        <w:keepLines/>
      </w:pPr>
      <w:r>
        <w:t>Recomendação do Grupo 4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toolchain recomendado mantém as quatro ferramentas. Semgrep e Checkov executam em pull requests por oferecerem feedback rápido. Dependency-Check executa após a resolução das dependências, com cache atualizado e lockfiles presentes. ZAP roda contra um ambiente efêmero após o deploy de teste. Um job agendado pode ampliar regras e tempo sem atrasar todo commit.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84"/>
        <w:gridCol w:w="3969"/>
        <w:gridCol w:w="3118"/>
      </w:tblGrid>
      <w:tr>
        <w:trPr>
          <w:tblHeader w:val="true"/>
        </w:trPr>
        <w:tc>
          <w:tcPr>
            <w:tcW w:type="dxa" w:w="1984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3969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Controle</w:t>
            </w:r>
          </w:p>
        </w:tc>
        <w:tc>
          <w:tcPr>
            <w:tcW w:type="dxa" w:w="3118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Gate recomendado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Pre-commit e IDE</w:t>
            </w:r>
          </w:p>
        </w:tc>
        <w:tc>
          <w:tcPr>
            <w:tcW w:type="dxa" w:w="3969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Semgrep rápido e Checkov nos arquivos alterados</w:t>
            </w:r>
          </w:p>
        </w:tc>
        <w:tc>
          <w:tcPr>
            <w:tcW w:type="dxa" w:w="311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Aviso local; sem depender de rede</w:t>
            </w:r>
          </w:p>
        </w:tc>
      </w:tr>
      <w:tr>
        <w:tc>
          <w:tcPr>
            <w:tcW w:type="dxa" w:w="198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Pull request</w:t>
            </w:r>
          </w:p>
        </w:tc>
        <w:tc>
          <w:tcPr>
            <w:tcW w:type="dxa" w:w="3969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Semgrep e Checkov completos</w:t>
            </w:r>
          </w:p>
        </w:tc>
        <w:tc>
          <w:tcPr>
            <w:tcW w:type="dxa" w:w="311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Bloquear novos HIGH e CRITICAL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Build</w:t>
            </w:r>
          </w:p>
        </w:tc>
        <w:tc>
          <w:tcPr>
            <w:tcW w:type="dxa" w:w="3969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Dependency-Check com lockfile e base atualizada</w:t>
            </w:r>
          </w:p>
        </w:tc>
        <w:tc>
          <w:tcPr>
            <w:tcW w:type="dxa" w:w="311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CVSS, alcance e exceções válidas</w:t>
            </w:r>
          </w:p>
        </w:tc>
      </w:tr>
      <w:tr>
        <w:tc>
          <w:tcPr>
            <w:tcW w:type="dxa" w:w="198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Ambiente de teste</w:t>
            </w:r>
          </w:p>
        </w:tc>
        <w:tc>
          <w:tcPr>
            <w:tcW w:type="dxa" w:w="3969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ZAP autenticado e limitado ao alvo</w:t>
            </w:r>
          </w:p>
        </w:tc>
        <w:tc>
          <w:tcPr>
            <w:tcW w:type="dxa" w:w="311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Risco, confiança e reprodução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Agendado</w:t>
            </w:r>
          </w:p>
        </w:tc>
        <w:tc>
          <w:tcPr>
            <w:tcW w:type="dxa" w:w="3969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Scans amplos das quatro ferramentas</w:t>
            </w:r>
          </w:p>
        </w:tc>
        <w:tc>
          <w:tcPr>
            <w:tcW w:type="dxa" w:w="311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Abrir backlog e revisar baselines</w:t>
            </w:r>
          </w:p>
        </w:tc>
      </w:tr>
    </w:tbl>
    <w:p>
      <w:pPr>
        <w:spacing w:after="40"/>
        <w:ind w:firstLine="0"/>
      </w:pP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 principal razão para manter ferramentas especializadas é preservar a pergunta de cada controle. Um resultado unificado ajuda a priorizar, mas não deve reduzir SCA, IaC e DAST a um único número. O relatório original continua necessário para entender cobertura e corrigir o problema certo.</w:t>
      </w:r>
    </w:p>
    <w:p>
      <w:pPr>
        <w:spacing w:after="80" w:before="36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BUILD RED E BUILD GREEN</w:t>
      </w:r>
    </w:p>
    <w:p>
      <w:pPr>
        <w:pStyle w:val="Heading1"/>
        <w:ind w:firstLine="0"/>
        <w:keepNext/>
        <w:keepLines/>
      </w:pPr>
      <w:r>
        <w:t>10 Integração contínua e quality gate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workflow .github/workflows/devsecops.yml contém dois jobs independentes. O primeiro executa o Semgrep no cenário vulnerável, confirma que o gate bloqueia e depois repete sobre a cópia corrigida. O segundo sobe o Juice Shop local, executa o ZAP e confirma o bloqueio. Os relatórios são publicados com if: always para permanecerem disponíveis mesmo quando a decisão de segurança é negativa.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84"/>
        <w:gridCol w:w="2835"/>
        <w:gridCol w:w="1701"/>
        <w:gridCol w:w="2551"/>
      </w:tblGrid>
      <w:tr>
        <w:trPr>
          <w:tblHeader w:val="true"/>
        </w:trPr>
        <w:tc>
          <w:tcPr>
            <w:tcW w:type="dxa" w:w="1984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2835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Relatório</w:t>
            </w:r>
          </w:p>
        </w:tc>
        <w:tc>
          <w:tcPr>
            <w:tcW w:type="dxa" w:w="1701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Bloqueadores</w:t>
            </w:r>
          </w:p>
        </w:tc>
        <w:tc>
          <w:tcPr>
            <w:tcW w:type="dxa" w:w="2551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SAST red</w:t>
            </w:r>
          </w:p>
        </w:tc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semgrep-red.json</w:t>
            </w:r>
          </w:p>
        </w:tc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 HIGH</w:t>
            </w:r>
          </w:p>
        </w:tc>
        <w:tc>
          <w:tcPr>
            <w:tcW w:type="dxa" w:w="255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Teste comprova gate bloqueado</w:t>
            </w:r>
          </w:p>
        </w:tc>
      </w:tr>
      <w:tr>
        <w:tc>
          <w:tcPr>
            <w:tcW w:type="dxa" w:w="198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SAST green</w:t>
            </w:r>
          </w:p>
        </w:tc>
        <w:tc>
          <w:tcPr>
            <w:tcW w:type="dxa" w:w="2835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semgrep-green.json</w:t>
            </w:r>
          </w:p>
        </w:tc>
        <w:tc>
          <w:tcPr>
            <w:tcW w:type="dxa" w:w="170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55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Gate aprovado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DAST</w:t>
            </w:r>
          </w:p>
        </w:tc>
        <w:tc>
          <w:tcPr>
            <w:tcW w:type="dxa" w:w="2835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zap-juice-shop.json</w:t>
            </w:r>
          </w:p>
        </w:tc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 HIGH</w:t>
            </w:r>
          </w:p>
        </w:tc>
        <w:tc>
          <w:tcPr>
            <w:tcW w:type="dxa" w:w="255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Teste comprova gate bloqueado</w:t>
            </w:r>
          </w:p>
        </w:tc>
      </w:tr>
    </w:tbl>
    <w:p>
      <w:pPr>
        <w:spacing w:after="40"/>
        <w:ind w:firstLine="0"/>
      </w:pPr>
    </w:p>
    <w:p>
      <w:pPr>
        <w:pStyle w:val="Heading2"/>
        <w:ind w:firstLine="0"/>
        <w:keepNext/>
        <w:keepLines/>
      </w:pPr>
      <w:r>
        <w:t>Normalização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script scripts/quality-gate.mjs converte severidades do Semgrep e riskcode do ZAP para LOW, MEDIUM, HIGH e CRITICAL. O limiar padrão é HIGH. No modo expect fail, o teste termina com sucesso somente quando encontra um bloqueador; isso permite demonstrar o build vermelho sem transformar a validação do laboratório em falha acidental do workflow.</w:t>
      </w:r>
    </w:p>
    <w:p>
      <w:pPr>
        <w:pStyle w:val="Heading2"/>
        <w:ind w:firstLine="0"/>
        <w:keepNext/>
        <w:keepLines/>
      </w:pPr>
      <w:r>
        <w:t>Ampliação para SCA e IaC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Checkov pode entrar em um terceiro job e remover --soft-fail quando a política estiver acordada. Dependency-Check deve ser adicionado depois da geração do lockfile e instalação das dependências, com dados do NVD em cache. Adicionar o SCA antes de corrigir a cobertura apenas automatizaria um falso sentimento de segurança.</w:t>
      </w:r>
    </w:p>
    <w:p>
      <w:pPr>
        <w:pStyle w:val="Heading2"/>
        <w:ind w:firstLine="0"/>
        <w:keepNext/>
        <w:keepLines/>
      </w:pPr>
      <w:r>
        <w:t>Governança do gate</w:t>
      </w:r>
    </w:p>
    <w:p>
      <w:pPr>
        <w:pStyle w:val="ListBullet"/>
        <w:spacing w:line="360" w:lineRule="auto" w:after="80"/>
        <w:ind w:left="369" w:hanging="198"/>
      </w:pPr>
      <w:r>
        <w:rPr>
          <w:rFonts w:ascii="Arial" w:hAnsi="Arial" w:eastAsia="Arial"/>
          <w:color w:val="000000"/>
          <w:sz w:val="22"/>
        </w:rPr>
        <w:t>Bloquear achados novos acima do limiar e preservar o relatório completo.</w:t>
      </w:r>
    </w:p>
    <w:p>
      <w:pPr>
        <w:pStyle w:val="ListBullet"/>
        <w:spacing w:line="360" w:lineRule="auto" w:after="80"/>
        <w:ind w:left="369" w:hanging="198"/>
      </w:pPr>
      <w:r>
        <w:rPr>
          <w:rFonts w:ascii="Arial" w:hAnsi="Arial" w:eastAsia="Arial"/>
          <w:color w:val="000000"/>
          <w:sz w:val="22"/>
        </w:rPr>
        <w:t>Exigir responsável, motivo e data de expiração para exceções.</w:t>
      </w:r>
    </w:p>
    <w:p>
      <w:pPr>
        <w:pStyle w:val="ListBullet"/>
        <w:spacing w:line="360" w:lineRule="auto" w:after="80"/>
        <w:ind w:left="369" w:hanging="198"/>
      </w:pPr>
      <w:r>
        <w:rPr>
          <w:rFonts w:ascii="Arial" w:hAnsi="Arial" w:eastAsia="Arial"/>
          <w:color w:val="000000"/>
          <w:sz w:val="22"/>
        </w:rPr>
        <w:t>Distinguir erro da ferramenta, falta de cobertura e ausência real de achados.</w:t>
      </w:r>
    </w:p>
    <w:p>
      <w:pPr>
        <w:pStyle w:val="ListBullet"/>
        <w:spacing w:line="360" w:lineRule="auto" w:after="80"/>
        <w:ind w:left="369" w:hanging="198"/>
      </w:pPr>
      <w:r>
        <w:rPr>
          <w:rFonts w:ascii="Arial" w:hAnsi="Arial" w:eastAsia="Arial"/>
          <w:color w:val="000000"/>
          <w:sz w:val="22"/>
        </w:rPr>
        <w:t>Medir idade, reincidência, tempo de correção, cobertura e falsos positivos triados.</w:t>
      </w:r>
    </w:p>
    <w:p>
      <w:pPr>
        <w:pStyle w:val="ListBullet"/>
        <w:spacing w:line="360" w:lineRule="auto" w:after="80"/>
        <w:ind w:left="369" w:hanging="198"/>
      </w:pPr>
      <w:r>
        <w:rPr>
          <w:rFonts w:ascii="Arial" w:hAnsi="Arial" w:eastAsia="Arial"/>
          <w:color w:val="000000"/>
          <w:sz w:val="22"/>
        </w:rPr>
        <w:t>Reavaliar baselines quando a regra, a versão da ferramenta ou a exposição mudar.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 política técnica só funciona quando existe um caminho de correção. Um gate que bloqueia sem publicar localização, evidência e orientação transfere o problema para o fim do processo. O desenho do grupo mantém JSON para decisão automática, SARIF para revisão e HTML para leitura e plano B.</w:t>
      </w:r>
    </w:p>
    <w:p>
      <w:pPr>
        <w:spacing w:after="80" w:before="36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SÍNTESE CRÍTICA</w:t>
      </w:r>
    </w:p>
    <w:p>
      <w:pPr>
        <w:pStyle w:val="Heading1"/>
        <w:ind w:firstLine="0"/>
        <w:keepNext/>
        <w:keepLines/>
      </w:pPr>
      <w:r>
        <w:t>11 Limitações e conclusão</w:t>
      </w:r>
    </w:p>
    <w:p>
      <w:pPr>
        <w:pStyle w:val="Heading2"/>
        <w:ind w:firstLine="0"/>
        <w:keepNext/>
        <w:keepLines/>
      </w:pPr>
      <w:r>
        <w:t>Limitações do experimento</w:t>
      </w:r>
    </w:p>
    <w:p>
      <w:pPr>
        <w:pStyle w:val="ListBullet"/>
        <w:spacing w:line="360" w:lineRule="auto" w:after="80"/>
        <w:ind w:left="369" w:hanging="198"/>
      </w:pPr>
      <w:r>
        <w:rPr>
          <w:rFonts w:ascii="Arial" w:hAnsi="Arial" w:eastAsia="Arial"/>
          <w:color w:val="000000"/>
          <w:sz w:val="22"/>
        </w:rPr>
        <w:t>O Semgrep geral gerou 69 achados, mas somente recortes prioritários foram triados manualmente.</w:t>
      </w:r>
    </w:p>
    <w:p>
      <w:pPr>
        <w:pStyle w:val="ListBullet"/>
        <w:spacing w:line="360" w:lineRule="auto" w:after="80"/>
        <w:ind w:left="369" w:hanging="198"/>
      </w:pPr>
      <w:r>
        <w:rPr>
          <w:rFonts w:ascii="Arial" w:hAnsi="Arial" w:eastAsia="Arial"/>
          <w:color w:val="000000"/>
          <w:sz w:val="22"/>
        </w:rPr>
        <w:t>O red e green do Semgrep analisou um arquivo para garantir execução previsível durante a apresentação.</w:t>
      </w:r>
    </w:p>
    <w:p>
      <w:pPr>
        <w:pStyle w:val="ListBullet"/>
        <w:spacing w:line="360" w:lineRule="auto" w:after="80"/>
        <w:ind w:left="369" w:hanging="198"/>
      </w:pPr>
      <w:r>
        <w:rPr>
          <w:rFonts w:ascii="Arial" w:hAnsi="Arial" w:eastAsia="Arial"/>
          <w:color w:val="000000"/>
          <w:sz w:val="22"/>
        </w:rPr>
        <w:t>O Dependency-Check não recebeu lockfiles nem node_modules e foi executado sem atualizar a base.</w:t>
      </w:r>
    </w:p>
    <w:p>
      <w:pPr>
        <w:pStyle w:val="ListBullet"/>
        <w:spacing w:line="360" w:lineRule="auto" w:after="80"/>
        <w:ind w:left="369" w:hanging="198"/>
      </w:pPr>
      <w:r>
        <w:rPr>
          <w:rFonts w:ascii="Arial" w:hAnsi="Arial" w:eastAsia="Arial"/>
          <w:color w:val="000000"/>
          <w:sz w:val="22"/>
        </w:rPr>
        <w:t>O Checkov avaliou o Terraform oficial, não um plano resolvido nem recursos já implantados.</w:t>
      </w:r>
    </w:p>
    <w:p>
      <w:pPr>
        <w:pStyle w:val="ListBullet"/>
        <w:spacing w:line="360" w:lineRule="auto" w:after="80"/>
        <w:ind w:left="369" w:hanging="198"/>
      </w:pPr>
      <w:r>
        <w:rPr>
          <w:rFonts w:ascii="Arial" w:hAnsi="Arial" w:eastAsia="Arial"/>
          <w:color w:val="000000"/>
          <w:sz w:val="22"/>
        </w:rPr>
        <w:t>O ZAP não autenticou usuários e limitou o active scan a quatro minutos e duas regras ativas.</w:t>
      </w:r>
    </w:p>
    <w:p>
      <w:pPr>
        <w:pStyle w:val="ListBullet"/>
        <w:spacing w:line="360" w:lineRule="auto" w:after="80"/>
        <w:ind w:left="369" w:hanging="198"/>
      </w:pPr>
      <w:r>
        <w:rPr>
          <w:rFonts w:ascii="Arial" w:hAnsi="Arial" w:eastAsia="Arial"/>
          <w:color w:val="000000"/>
          <w:sz w:val="22"/>
        </w:rPr>
        <w:t>A imagem oficial do Juice Shop permaneceu vulnerável; o green foi uma cópia usada apenas pelo SAST.</w:t>
      </w:r>
    </w:p>
    <w:p>
      <w:r>
        <w:br w:type="page"/>
      </w:r>
    </w:p>
    <w:p>
      <w:pPr>
        <w:pStyle w:val="Heading2"/>
        <w:ind w:firstLine="0"/>
        <w:keepNext/>
        <w:keepLines/>
      </w:pPr>
      <w:r>
        <w:t>Conclusão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As quatro ferramentas foram executadas e produziram resultados distintos. O Semgrep ofereceu ampla visibilidade do código e comprovou uma correção específica. O Dependency-Check mostrou, pela ausência de inventário suficiente, que um scan concluído pode continuar inconclusivo. O Checkov revelou 24 desvios concretos no Terraform. O ZAP observou o sistema em execução e encontrou um alerta HIGH correlacionável ao código.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 correlação mais forte foi a SQL Injection da busca. Semgrep mostrou a interpolação na consulta; ZAP mostrou o endpoint respondendo de forma compatível com um payload de injeção; a consulta parametrizada removeu o padrão no cenário green. Essa sequência fornece evidência de achado, correção e verificação, sem afirmar que um único teste tornou a aplicação segura.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 Grupo 4 recomenda executar Semgrep e Checkov cedo, Dependency-Check com inventário completo no build e ZAP em um ambiente local ou efêmero de teste. Gates devem tratar HIGH e CRITICAL, mas também precisam registrar cobertura, confiança e exceções. A combinação oferece defesa em profundidade porque cada ferramenta enxerga uma parte que as outras não observam.</w:t>
      </w:r>
    </w:p>
    <w:p>
      <w:pPr>
        <w:pStyle w:val="Heading2"/>
        <w:ind w:firstLine="0"/>
        <w:keepNext/>
        <w:keepLines/>
      </w:pPr>
      <w:r>
        <w:t>Orientação para a apresentação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Na apresentação, mostrar o Semgrep geral, o red e green da consulta e o relatório do ZAP. Checkov entra com as 24 falhas e Dependency-Check como exemplo de cobertura insuficiente. Essa leitura demonstra domínio técnico além das contagens.</w:t>
      </w:r>
    </w:p>
    <w:p>
      <w:r>
        <w:br w:type="page"/>
      </w:r>
    </w:p>
    <w:p>
      <w:pPr>
        <w:spacing w:after="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FONTES PRIMÁRIAS E NORMAS</w:t>
      </w:r>
    </w:p>
    <w:p>
      <w:pPr>
        <w:pStyle w:val="Heading1"/>
        <w:ind w:firstLine="0"/>
        <w:keepNext/>
        <w:keepLines/>
      </w:pPr>
      <w:r>
        <w:t>Referências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[1] NATIONAL INSTITUTE OF STANDARDS AND TECHNOLOGY. Secure Software Development Framework SSDF Version 1.1: Recommendations for Mitigating the Risk of Software Vulnerabilities. Gaithersburg, 2022. Disponível em: https://csrc.nist.gov/pubs/sp/800/218/final.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[2] OWASP FOUNDATION. DevSecOps Guideline: Vulnerability Scanning. Disponível em: https://owasp.org/www-project-devsecops-guideline/latest/02-Vulnerability-Scanning.html.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[3] CYBERSECURITY AND INFRASTRUCTURE SECURITY AGENCY. 2025 Minimum Elements for a Software Bill of Materials. Washington, 2025. Disponível em: https://www.cisa.gov/resources-tools/resources/2025-minimum-elements-software-bill-materials-sbom.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[4] MITRE. CWE-89: Improper Neutralization of Special Elements used in an SQL Command. Disponível em: https://cwe.mitre.org/data/definitions/89.html.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[5] SEMGREP. Semgrep repository. GitHub, 2026. Disponível em: https://github.com/semgrep/semgrep.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[6] SEMGREP. Continuous integration documentation. Disponível em: https://semgrep.dev/docs/semgrep-ci/overview.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[7] SEMGREP. Release v1.177.0. GitHub, 10 set. 2026. Disponível em: https://github.com/semgrep/semgrep/releases/tag/v1.177.0.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[8] OWASP DEPENDENCY-CHECK. Official repository and usage documentation. GitHub, 2026. Disponível em: https://github.com/dependency-check/DependencyCheck.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[9] OWASP DEPENDENCY-CHECK. Command Line Arguments. Disponível em: https://dependency-check.github.io/DependencyCheck/dependency-check-cli/arguments.html.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[10] OWASP DEPENDENCY-CHECK. Version 13.0.0. GitHub, 3 ago. 2026. Disponível em: https://github.com/dependency-check/DependencyCheck/releases/tag/v13.0.0.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[11] BRIDGECREW. Checkov repository. GitHub, 2026. Disponível em: https://github.com/bridgecrewio/checkov.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[12] CHECKOV. Output formats. Disponível em: https://www.checkov.io/8.Outputs/Output%20Formats.html.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[13] BRIDGECREW. Checkov release 3.3.17. GitHub, 10 set. 2026. Disponível em: https://github.com/bridgecrewio/checkov/releases/tag/3.3.17.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[14] ZAPROXY. ZAP core repository. GitHub, 2026. Disponível em: https://github.com/zaproxy/zaproxy.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[15] ZAPROXY. Automation Framework. Disponível em: https://www.zaproxy.org/docs/automate/automation-framework/.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[16] ZAPROXY. ZAP Docker images. Disponível em: https://www.zaproxy.org/docs/docker/about/.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[17] ZAPROXY. ZAP 2.17.0. 15 dez. 2025. Disponível em: https://www.zaproxy.org/blog/2025-12-15-zap-2-17-0/.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[18] OWASP JUICE SHOP. Release v20.2.0. GitHub, 2026. Disponível em: https://github.com/juice-shop/juice-shop/releases/tag/v20.2.0.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[19] OWASP FOUNDATION. OWASP Top 10: A03 Injection. Disponível em: https://owasp.org/Top10/A03_2021-Injection/.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[20] GITHUB. Uploading a SARIF file to GitHub. Disponível em: https://docs.github.com/code-security/code-scanning/integrating-with-code-scanning/uploading-a-sarif-file-to-github. Acesso em: 15 set. 2026.</w:t>
      </w:r>
    </w:p>
    <w:p>
      <w:pPr>
        <w:spacing w:after="140" w:line="240" w:lineRule="auto"/>
        <w:ind w:firstLine="0"/>
        <w:jc w:val="left"/>
      </w:pPr>
      <w:r>
        <w:rPr>
          <w:rFonts w:ascii="Arial" w:hAnsi="Arial" w:eastAsia="Arial"/>
          <w:color w:val="000000"/>
          <w:sz w:val="18"/>
        </w:rPr>
        <w:t>[21] OWASP FOUNDATION. CycloneDX. Disponível em: https://owasp.org/www-project-cyclonedx/. Acesso em: 15 set. 2026.</w:t>
      </w:r>
    </w:p>
    <w:p>
      <w:pPr>
        <w:spacing w:after="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REPRODUÇÃO</w:t>
      </w:r>
    </w:p>
    <w:p>
      <w:pPr>
        <w:pStyle w:val="Heading1"/>
        <w:ind w:firstLine="0"/>
        <w:keepNext/>
        <w:keepLines/>
      </w:pPr>
      <w:r>
        <w:t>Apêndice A Comandos principais</w:t>
      </w:r>
    </w:p>
    <w:p>
      <w:pPr>
        <w:pStyle w:val="Heading2"/>
        <w:ind w:firstLine="0"/>
        <w:keepNext/>
        <w:keepLines/>
      </w:pPr>
      <w:r>
        <w:t>Preparação</w:t>
      </w:r>
    </w:p>
    <w:p>
      <w:pPr>
        <w:spacing w:line="240" w:lineRule="auto" w:before="100" w:after="160"/>
        <w:ind w:left="142" w:right="142" w:firstLine="0"/>
        <w:shd w:fill="F4F6F7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Consolas"/>
          <w:color w:val="000000"/>
          <w:sz w:val="17"/>
        </w:rPr>
        <w:t>Set-ExecutionPolicy -Scope Process Bypass</w:t>
        <w:br/>
        <w:t>Set-Location "C:\Users\Hayom\Documents\CheckpointDevOps"</w:t>
        <w:br/>
        <w:t>docker version</w:t>
      </w:r>
    </w:p>
    <w:p>
      <w:pPr>
        <w:pStyle w:val="Heading2"/>
        <w:ind w:firstLine="0"/>
        <w:keepNext/>
        <w:keepLines/>
      </w:pPr>
      <w:r>
        <w:t>Laboratório red green e DAST</w:t>
      </w:r>
    </w:p>
    <w:p>
      <w:pPr>
        <w:spacing w:line="240" w:lineRule="auto" w:before="100" w:after="160"/>
        <w:ind w:left="142" w:right="142" w:firstLine="0"/>
        <w:shd w:fill="F4F6F7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Consolas"/>
          <w:color w:val="000000"/>
          <w:sz w:val="17"/>
        </w:rPr>
        <w:t>.\scripts\run-lab.ps1 -Mode sast-red</w:t>
        <w:br/>
        <w:t>.\scripts\run-lab.ps1 -Mode sast-green</w:t>
        <w:br/>
        <w:t>.\scripts\run-lab.ps1 -Mode dast</w:t>
      </w:r>
    </w:p>
    <w:p>
      <w:pPr>
        <w:pStyle w:val="Heading2"/>
        <w:ind w:firstLine="0"/>
        <w:keepNext/>
        <w:keepLines/>
      </w:pPr>
      <w:r>
        <w:t>Execuções complementares</w:t>
      </w:r>
    </w:p>
    <w:p>
      <w:pPr>
        <w:spacing w:line="240" w:lineRule="auto" w:before="100" w:after="160"/>
        <w:ind w:left="142" w:right="142" w:firstLine="0"/>
        <w:shd w:fill="F4F6F7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Consolas"/>
          <w:color w:val="000000"/>
          <w:sz w:val="17"/>
        </w:rPr>
        <w:t># Semgrep geral</w:t>
        <w:br/>
        <w:t>docker run --rm -v "${ProjectDir}target/juice-shop:/src/target/juice-shop" `</w:t>
        <w:br/>
        <w:t xml:space="preserve">  semgrep/semgrep:1.172.0 semgrep scan --config auto /src/target/juice-shop</w:t>
        <w:br/>
        <w:br/>
        <w:t># Checkov</w:t>
        <w:br/>
        <w:t>docker run --rm -v "${ProjectDir}target/juice-shop/terraform:/tf:ro" `</w:t>
        <w:br/>
        <w:t xml:space="preserve">  ghcr.io/bridgecrewio/checkov:3.3.11 -d /tf --framework terraform --compact</w:t>
      </w:r>
    </w:p>
    <w:p>
      <w:pPr>
        <w:pStyle w:val="Heading2"/>
        <w:ind w:firstLine="0"/>
        <w:keepNext/>
        <w:keepLines/>
      </w:pPr>
      <w:r>
        <w:t>Encerramento</w:t>
      </w:r>
    </w:p>
    <w:p>
      <w:pPr>
        <w:spacing w:line="240" w:lineRule="auto" w:before="100" w:after="160"/>
        <w:ind w:left="142" w:right="142" w:firstLine="0"/>
        <w:shd w:fill="F4F6F7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 w:eastAsia="Consolas"/>
          <w:color w:val="000000"/>
          <w:sz w:val="17"/>
        </w:rPr>
        <w:t>docker compose --profile tools down --remove-orphans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Os comandos completos, resultados esperados e solução de problemas estão em LAB.md. As imagens Docker permanecem em cache após o encerramento para reduzir o risco de rede durante a apresentação.</w:t>
      </w:r>
    </w:p>
    <w:p>
      <w:r>
        <w:br w:type="page"/>
      </w:r>
    </w:p>
    <w:p>
      <w:pPr>
        <w:spacing w:after="40"/>
      </w:pPr>
    </w:p>
    <w:p>
      <w:pPr>
        <w:spacing w:after="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RASTREABILIDADE</w:t>
      </w:r>
    </w:p>
    <w:p>
      <w:pPr>
        <w:pStyle w:val="Heading1"/>
        <w:ind w:firstLine="0"/>
        <w:keepNext/>
        <w:keepLines/>
      </w:pPr>
      <w:r>
        <w:t>Apêndice B Mapa de evidências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154"/>
        <w:gridCol w:w="3628"/>
        <w:gridCol w:w="3288"/>
      </w:tblGrid>
      <w:tr>
        <w:trPr>
          <w:tblHeader w:val="true"/>
        </w:trPr>
        <w:tc>
          <w:tcPr>
            <w:tcW w:type="dxa" w:w="2154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Evidência</w:t>
            </w:r>
          </w:p>
        </w:tc>
        <w:tc>
          <w:tcPr>
            <w:tcW w:type="dxa" w:w="3628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Arquivo</w:t>
            </w:r>
          </w:p>
        </w:tc>
        <w:tc>
          <w:tcPr>
            <w:tcW w:type="dxa" w:w="3288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215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Semgrep geral</w:t>
            </w:r>
          </w:p>
        </w:tc>
        <w:tc>
          <w:tcPr>
            <w:tcW w:type="dxa" w:w="362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reports/semgrep-auto.json e semgrep-auto.log</w:t>
            </w:r>
          </w:p>
        </w:tc>
        <w:tc>
          <w:tcPr>
            <w:tcW w:type="dxa" w:w="328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Cobertura geral sem regra própria</w:t>
            </w:r>
          </w:p>
        </w:tc>
      </w:tr>
      <w:tr>
        <w:tc>
          <w:tcPr>
            <w:tcW w:type="dxa" w:w="215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Semgrep red</w:t>
            </w:r>
          </w:p>
        </w:tc>
        <w:tc>
          <w:tcPr>
            <w:tcW w:type="dxa" w:w="362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reports/semgrep-red.json</w:t>
            </w:r>
          </w:p>
        </w:tc>
        <w:tc>
          <w:tcPr>
            <w:tcW w:type="dxa" w:w="328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Comprovar HIGH e bloqueio</w:t>
            </w:r>
          </w:p>
        </w:tc>
      </w:tr>
      <w:tr>
        <w:tc>
          <w:tcPr>
            <w:tcW w:type="dxa" w:w="215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Semgrep green</w:t>
            </w:r>
          </w:p>
        </w:tc>
        <w:tc>
          <w:tcPr>
            <w:tcW w:type="dxa" w:w="362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reports/semgrep-green.json</w:t>
            </w:r>
          </w:p>
        </w:tc>
        <w:tc>
          <w:tcPr>
            <w:tcW w:type="dxa" w:w="328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Comprovar ausência do padrão após correção</w:t>
            </w:r>
          </w:p>
        </w:tc>
      </w:tr>
      <w:tr>
        <w:tc>
          <w:tcPr>
            <w:tcW w:type="dxa" w:w="215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Dependency-Check</w:t>
            </w:r>
          </w:p>
        </w:tc>
        <w:tc>
          <w:tcPr>
            <w:tcW w:type="dxa" w:w="362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reports/dependency-check/</w:t>
            </w:r>
          </w:p>
        </w:tc>
        <w:tc>
          <w:tcPr>
            <w:tcW w:type="dxa" w:w="328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HTML, JSON, XML, CSV e SARIF</w:t>
            </w:r>
          </w:p>
        </w:tc>
      </w:tr>
      <w:tr>
        <w:tc>
          <w:tcPr>
            <w:tcW w:type="dxa" w:w="215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Checkov</w:t>
            </w:r>
          </w:p>
        </w:tc>
        <w:tc>
          <w:tcPr>
            <w:tcW w:type="dxa" w:w="362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reports/checkov.json e checkov.sarif</w:t>
            </w:r>
          </w:p>
        </w:tc>
        <w:tc>
          <w:tcPr>
            <w:tcW w:type="dxa" w:w="328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42 aprovados e 24 reprovados</w:t>
            </w:r>
          </w:p>
        </w:tc>
      </w:tr>
      <w:tr>
        <w:tc>
          <w:tcPr>
            <w:tcW w:type="dxa" w:w="215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OWASP ZAP</w:t>
            </w:r>
          </w:p>
        </w:tc>
        <w:tc>
          <w:tcPr>
            <w:tcW w:type="dxa" w:w="362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reports/zap-juice-shop.html e .json</w:t>
            </w:r>
          </w:p>
        </w:tc>
        <w:tc>
          <w:tcPr>
            <w:tcW w:type="dxa" w:w="328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11 tipos de alerta e gate</w:t>
            </w:r>
          </w:p>
        </w:tc>
      </w:tr>
      <w:tr>
        <w:tc>
          <w:tcPr>
            <w:tcW w:type="dxa" w:w="215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Captura Semgrep</w:t>
            </w:r>
          </w:p>
        </w:tc>
        <w:tc>
          <w:tcPr>
            <w:tcW w:type="dxa" w:w="362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evidencias/real-semgrep-terminal.png</w:t>
            </w:r>
          </w:p>
        </w:tc>
        <w:tc>
          <w:tcPr>
            <w:tcW w:type="dxa" w:w="328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Execução real no terminal</w:t>
            </w:r>
          </w:p>
        </w:tc>
      </w:tr>
      <w:tr>
        <w:tc>
          <w:tcPr>
            <w:tcW w:type="dxa" w:w="215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Captura Checkov</w:t>
            </w:r>
          </w:p>
        </w:tc>
        <w:tc>
          <w:tcPr>
            <w:tcW w:type="dxa" w:w="362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evidencias/real-checkov-terminal.png</w:t>
            </w:r>
          </w:p>
        </w:tc>
        <w:tc>
          <w:tcPr>
            <w:tcW w:type="dxa" w:w="328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Execução real no terminal</w:t>
            </w:r>
          </w:p>
        </w:tc>
      </w:tr>
      <w:tr>
        <w:tc>
          <w:tcPr>
            <w:tcW w:type="dxa" w:w="2154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Captura Dependency-Check</w:t>
            </w:r>
          </w:p>
        </w:tc>
        <w:tc>
          <w:tcPr>
            <w:tcW w:type="dxa" w:w="362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evidencias/real-dependency-check.png</w:t>
            </w:r>
          </w:p>
        </w:tc>
        <w:tc>
          <w:tcPr>
            <w:tcW w:type="dxa" w:w="3288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Relatório HTML real</w:t>
            </w:r>
          </w:p>
        </w:tc>
      </w:tr>
      <w:tr>
        <w:tc>
          <w:tcPr>
            <w:tcW w:type="dxa" w:w="2154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Captura ZAP</w:t>
            </w:r>
          </w:p>
        </w:tc>
        <w:tc>
          <w:tcPr>
            <w:tcW w:type="dxa" w:w="362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evidencias/real-zap-resumo.png</w:t>
            </w:r>
          </w:p>
        </w:tc>
        <w:tc>
          <w:tcPr>
            <w:tcW w:type="dxa" w:w="3288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Relatório HTML real</w:t>
            </w:r>
          </w:p>
        </w:tc>
      </w:tr>
    </w:tbl>
    <w:p>
      <w:pPr>
        <w:spacing w:after="40"/>
        <w:ind w:firstLine="0"/>
      </w:pPr>
    </w:p>
    <w:p>
      <w:pPr>
        <w:pStyle w:val="Heading2"/>
        <w:ind w:firstLine="0"/>
        <w:keepNext/>
        <w:keepLines/>
      </w:pPr>
      <w:r>
        <w:t>Perguntas de verificação para a turma</w:t>
      </w:r>
    </w:p>
    <w:p>
      <w:pPr>
        <w:spacing w:after="80"/>
        <w:ind w:firstLine="0" w:left="227"/>
      </w:pPr>
      <w:r>
        <w:rPr>
          <w:rFonts w:ascii="Arial" w:hAnsi="Arial" w:eastAsia="Arial"/>
          <w:color w:val="000000"/>
          <w:sz w:val="22"/>
        </w:rPr>
        <w:t>1. Quantos achados HIGH o cenário Semgrep red produz e qual é o resultado após a correção?</w:t>
      </w:r>
    </w:p>
    <w:p>
      <w:pPr>
        <w:spacing w:after="80"/>
        <w:ind w:firstLine="0" w:left="227"/>
      </w:pPr>
      <w:r>
        <w:rPr>
          <w:rFonts w:ascii="Arial" w:hAnsi="Arial" w:eastAsia="Arial"/>
          <w:color w:val="000000"/>
          <w:sz w:val="22"/>
        </w:rPr>
        <w:t>2. Qual plugin do ZAP reporta a SQL Injection e qual CWE está associado ao alerta?</w:t>
      </w:r>
    </w:p>
    <w:p>
      <w:r>
        <w:br w:type="page"/>
      </w:r>
    </w:p>
    <w:p>
      <w:pPr>
        <w:spacing w:after="80"/>
        <w:ind w:firstLine="0"/>
        <w:keepNext/>
        <w:keepLines/>
      </w:pPr>
      <w:r>
        <w:rPr>
          <w:rFonts w:ascii="Arial" w:hAnsi="Arial" w:eastAsia="Arial"/>
          <w:b/>
          <w:color w:val="00A6C8"/>
          <w:sz w:val="18"/>
        </w:rPr>
        <w:t>TRANSPARÊNCIA ACADÊMICA</w:t>
      </w:r>
    </w:p>
    <w:p>
      <w:pPr>
        <w:pStyle w:val="Heading1"/>
        <w:ind w:firstLine="0"/>
        <w:keepNext/>
        <w:keepLines/>
      </w:pPr>
      <w:r>
        <w:t>Apêndice C Uso de inteligência artificial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Ferramentas de inteligência artificial apoiaram a organização inicial do repositório, a redação, a revisão do relatório e a preparação de scripts. O grupo validou as afirmações por meio dos relatórios produzidos pelas ferramentas, do código versionado e das documentações oficiais citadas.</w:t>
      </w:r>
    </w:p>
    <w:p>
      <w:pPr>
        <w:spacing w:after="120"/>
      </w:pPr>
      <w:r>
        <w:rPr>
          <w:rFonts w:ascii="Arial" w:hAnsi="Arial" w:eastAsia="Arial"/>
          <w:color w:val="000000"/>
          <w:sz w:val="22"/>
        </w:rPr>
        <w:t>As decisões de escopo, execução, classificação de achados e apresentação permanecem sob responsabilidade do Grupo 4. Métricas como quantidade de arquivos, regras, checks, URLs, alertas, versões e tempos foram conferidas nos artefatos gerados em 15 de setembro de 2026. A declaração detalhada está em USO-DE-IA.md.</w:t>
      </w:r>
    </w:p>
    <w:p>
      <w:pPr>
        <w:pStyle w:val="Heading2"/>
        <w:ind w:firstLine="0"/>
        <w:keepNext/>
        <w:keepLines/>
      </w:pPr>
      <w:r>
        <w:t>Checklist de entrega relacionado ao relatório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2"/>
        <w:gridCol w:w="1701"/>
        <w:gridCol w:w="3969"/>
      </w:tblGrid>
      <w:tr>
        <w:trPr>
          <w:tblHeader w:val="true"/>
        </w:trPr>
        <w:tc>
          <w:tcPr>
            <w:tcW w:type="dxa" w:w="3402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701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3969"/>
            <w:shd w:fill="0B254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2" w:lineRule="auto" w:after="0"/>
              <w:ind w:firstLine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Evidência</w:t>
            </w:r>
          </w:p>
        </w:tc>
      </w:tr>
      <w:tr>
        <w:tc>
          <w:tcPr>
            <w:tcW w:type="dxa" w:w="340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Quatro ferramentas cobertas</w:t>
            </w:r>
          </w:p>
        </w:tc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Atendido</w:t>
            </w:r>
          </w:p>
        </w:tc>
        <w:tc>
          <w:tcPr>
            <w:tcW w:type="dxa" w:w="3969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Seções 4 a 7</w:t>
            </w:r>
          </w:p>
        </w:tc>
      </w:tr>
      <w:tr>
        <w:tc>
          <w:tcPr>
            <w:tcW w:type="dxa" w:w="3402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Execução das quatro ferramentas</w:t>
            </w:r>
          </w:p>
        </w:tc>
        <w:tc>
          <w:tcPr>
            <w:tcW w:type="dxa" w:w="170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Atendido</w:t>
            </w:r>
          </w:p>
        </w:tc>
        <w:tc>
          <w:tcPr>
            <w:tcW w:type="dxa" w:w="3969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reports e figuras 1 a 4</w:t>
            </w:r>
          </w:p>
        </w:tc>
      </w:tr>
      <w:tr>
        <w:tc>
          <w:tcPr>
            <w:tcW w:type="dxa" w:w="340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Duas categorias no laboratório</w:t>
            </w:r>
          </w:p>
        </w:tc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Atendido</w:t>
            </w:r>
          </w:p>
        </w:tc>
        <w:tc>
          <w:tcPr>
            <w:tcW w:type="dxa" w:w="3969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Semgrep e ZAP</w:t>
            </w:r>
          </w:p>
        </w:tc>
      </w:tr>
      <w:tr>
        <w:tc>
          <w:tcPr>
            <w:tcW w:type="dxa" w:w="3402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Build red e green</w:t>
            </w:r>
          </w:p>
        </w:tc>
        <w:tc>
          <w:tcPr>
            <w:tcW w:type="dxa" w:w="170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Atendido</w:t>
            </w:r>
          </w:p>
        </w:tc>
        <w:tc>
          <w:tcPr>
            <w:tcW w:type="dxa" w:w="3969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semgrep-red.json e semgrep-green.json</w:t>
            </w:r>
          </w:p>
        </w:tc>
      </w:tr>
      <w:tr>
        <w:tc>
          <w:tcPr>
            <w:tcW w:type="dxa" w:w="340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Três achados classificados</w:t>
            </w:r>
          </w:p>
        </w:tc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Atendido</w:t>
            </w:r>
          </w:p>
        </w:tc>
        <w:tc>
          <w:tcPr>
            <w:tcW w:type="dxa" w:w="3969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Seção 8</w:t>
            </w:r>
          </w:p>
        </w:tc>
      </w:tr>
      <w:tr>
        <w:tc>
          <w:tcPr>
            <w:tcW w:type="dxa" w:w="3402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Mínimo de dez fontes</w:t>
            </w:r>
          </w:p>
        </w:tc>
        <w:tc>
          <w:tcPr>
            <w:tcW w:type="dxa" w:w="170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Atendido</w:t>
            </w:r>
          </w:p>
        </w:tc>
        <w:tc>
          <w:tcPr>
            <w:tcW w:type="dxa" w:w="3969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21 referências, maioria primária</w:t>
            </w:r>
          </w:p>
        </w:tc>
      </w:tr>
      <w:tr>
        <w:tc>
          <w:tcPr>
            <w:tcW w:type="dxa" w:w="3402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Plano B</w:t>
            </w:r>
          </w:p>
        </w:tc>
        <w:tc>
          <w:tcPr>
            <w:tcW w:type="dxa" w:w="170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Atendido</w:t>
            </w:r>
          </w:p>
        </w:tc>
        <w:tc>
          <w:tcPr>
            <w:tcW w:type="dxa" w:w="3969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Relatórios e capturas versionados</w:t>
            </w:r>
          </w:p>
        </w:tc>
      </w:tr>
      <w:tr>
        <w:tc>
          <w:tcPr>
            <w:tcW w:type="dxa" w:w="3402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Declaração de IA</w:t>
            </w:r>
          </w:p>
        </w:tc>
        <w:tc>
          <w:tcPr>
            <w:tcW w:type="dxa" w:w="1701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Atendido</w:t>
            </w:r>
          </w:p>
        </w:tc>
        <w:tc>
          <w:tcPr>
            <w:tcW w:type="dxa" w:w="3969"/>
            <w:shd w:fill="EAF5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line="259" w:lineRule="auto" w:after="0"/>
              <w:ind w:firstLine="0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USO-DE-IA.md e este apêndice</w:t>
            </w:r>
          </w:p>
        </w:tc>
      </w:tr>
    </w:tbl>
    <w:p>
      <w:pPr>
        <w:spacing w:after="40"/>
        <w:ind w:firstLine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701" w:header="709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824"/>
      <w:gridCol w:w="1247"/>
    </w:tblGrid>
    <w:tr>
      <w:tc>
        <w:tcPr>
          <w:tcW w:type="dxa" w:w="4535"/>
        </w:tcPr>
        <w:p>
          <w:pPr>
            <w:spacing w:after="0"/>
            <w:jc w:val="left"/>
          </w:pPr>
          <w:r>
            <w:rPr>
              <w:rFonts w:ascii="Arial" w:hAnsi="Arial" w:eastAsia="Arial"/>
              <w:color w:val="66737D"/>
              <w:sz w:val="16"/>
            </w:rPr>
            <w:t>Relatório DevSecOps | Grupo 4</w:t>
          </w:r>
        </w:p>
      </w:tc>
      <w:tc>
        <w:tcPr>
          <w:tcW w:type="dxa" w:w="4535"/>
        </w:tcPr>
        <w:p>
          <w:pPr>
            <w:spacing w:after="0"/>
            <w:jc w:val="right"/>
          </w:pPr>
          <w:r>
            <w:rPr>
              <w:rFonts w:ascii="Arial" w:hAnsi="Arial" w:eastAsia="Arial"/>
              <w:color w:val="66737D"/>
              <w:sz w:val="18"/>
            </w:rPr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/>
        <w:b/>
        <w:color w:val="66737D"/>
        <w:sz w:val="17"/>
      </w:rPr>
      <w:t>CHECKPOINT 01   |   DEVSECOPS   |   GRUPO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  <w:ind w:firstLine="709"/>
      <w:jc w:val="both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  <w:jc w:val="left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color w:val="66737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Ferramentas open source de SAST SCA IaC Security e DAST no pipeline DevSecOps</dc:title>
  <dc:subject>Checkpoint 01 do Grupo 4</dc:subject>
  <dc:creator>Tiago Louzã; Leando de Souza Silva; Luiz Fernando; Fabricio de Freitas Evangelista; Erik Gunnar</dc:creator>
  <cp:keywords>DevSecOps, Semgrep, Dependency-Check, Checkov, OWASP ZAP, Juice Shop</cp:keywords>
  <dc:description>Relatório acadêmico validado com evidências do laboratório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