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1655C00">
      <w:pPr>
        <w:spacing w:after="100"/>
        <w:jc w:val="center"/>
      </w:pPr>
      <w:r>
        <w:rPr>
          <w:b/>
          <w:bCs/>
          <w:sz w:val="32"/>
          <w:szCs w:val="32"/>
        </w:rPr>
        <w:t>PLAN DE PROYECTO</w:t>
      </w:r>
    </w:p>
    <w:p w14:paraId="75B1451B">
      <w:pPr>
        <w:spacing w:after="300"/>
        <w:jc w:val="center"/>
      </w:pPr>
      <w:r>
        <w:rPr>
          <w:i/>
          <w:iCs/>
          <w:sz w:val="22"/>
          <w:szCs w:val="22"/>
        </w:rPr>
        <w:t>Modelo genérico — aplicable a cualquiera de las 4 ideas evaluadas</w:t>
      </w:r>
    </w:p>
    <w:p w14:paraId="14E50B5A">
      <w:pPr>
        <w:pStyle w:val="Heading1"/>
        <w:spacing w:before="300" w:after="150"/>
      </w:pPr>
      <w:r>
        <w:rPr>
          <w:b/>
          <w:bCs/>
          <w:color w:val="2E74B5"/>
          <w:sz w:val="28"/>
          <w:szCs w:val="28"/>
        </w:rPr>
        <w:t>1. Datos Generales</w:t>
      </w:r>
    </w:p>
    <w:p w14:paraId="2EF0BD29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Proyecto: </w:t>
      </w:r>
      <w:r>
        <w:rPr>
          <w:i/>
          <w:iCs/>
        </w:rPr>
        <w:t>Cambio climático en Argentina y su relación con el crecimiento económico (PBI)</w:t>
      </w:r>
    </w:p>
    <w:p w14:paraId="4C1E754F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Autor/a: </w:t>
      </w:r>
      <w:r>
        <w:rPr>
          <w:i/>
          <w:iCs/>
        </w:rPr>
        <w:t>Elias Campos, Tiago Maidana</w:t>
      </w:r>
    </w:p>
    <w:p w14:paraId="3032C8AA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Fecha de inicio: </w:t>
      </w:r>
      <w:r>
        <w:rPr>
          <w:i/>
          <w:iCs/>
        </w:rPr>
        <w:t>14/09/2026</w:t>
      </w:r>
    </w:p>
    <w:p w14:paraId="7C0B4DF3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Fecha de entrega: </w:t>
      </w:r>
      <w:r>
        <w:rPr>
          <w:i/>
          <w:iCs/>
        </w:rPr>
        <w:t>30/11/2026</w:t>
      </w:r>
    </w:p>
    <w:p w14:paraId="06291AED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Duración estimada: </w:t>
      </w:r>
      <w:r>
        <w:rPr>
          <w:i/>
          <w:iCs/>
        </w:rPr>
        <w:t>11 semanas</w:t>
      </w:r>
    </w:p>
    <w:p w14:paraId="14C4F728">
      <w:pPr>
        <w:pStyle w:val="Heading1"/>
        <w:spacing w:before="300" w:after="150"/>
      </w:pPr>
      <w:r>
        <w:rPr>
          <w:b/>
          <w:bCs/>
          <w:color w:val="2E74B5"/>
          <w:sz w:val="28"/>
          <w:szCs w:val="28"/>
        </w:rPr>
        <w:t>2. Alcance del Proyecto</w:t>
      </w:r>
    </w:p>
    <w:p w14:paraId="7962F8A1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Incluye: </w:t>
      </w:r>
      <w:r>
        <w:rPr>
          <w:i/>
          <w:iCs/>
        </w:rPr>
        <w:t>Análisis exploratorio de tres indicadores de cambio climático en Argentina — anomalía de temperatura media anual, precipitaciones y emisiones de CO2 — y de su relación con el PBI a lo largo del tiempo; construcción de un modelo predictivo para estimar la evolución futura de la temperatura en base a esas variables; extensión del análisis climático (temperatura, precipitación y viento) a las 24 provincias, con ranking de velocidad de cambio y proyección simple por provincia, manteniendo el PBI y el CO2 a nivel nacional</w:t>
      </w:r>
    </w:p>
    <w:p w14:paraId="61209FD0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No incluye: </w:t>
      </w:r>
      <w:r>
        <w:rPr>
          <w:i/>
          <w:iCs/>
        </w:rPr>
        <w:t>Comparación exhaustiva con todos los demás países del dataset (se usarán solo como referencia puntual si hace falta); recomendaciones de política pública o de mitigación; incorporación de fuentes de datos externas a las utilizadas</w:t>
      </w:r>
    </w:p>
    <w:p w14:paraId="5658AB41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Entregable final: </w:t>
      </w:r>
      <w:r>
        <w:rPr>
          <w:i/>
          <w:iCs/>
        </w:rPr>
        <w:t>Informe escrito + notebook con el análisis y el modelo + presentación de 10-15 minutos</w:t>
      </w:r>
    </w:p>
    <w:p w14:paraId="6047EAC7">
      <w:pPr>
        <w:pStyle w:val="Heading1"/>
        <w:spacing w:before="300" w:after="150"/>
      </w:pPr>
      <w:r>
        <w:rPr>
          <w:b/>
          <w:bCs/>
          <w:color w:val="2E74B5"/>
          <w:sz w:val="28"/>
          <w:szCs w:val="28"/>
        </w:rPr>
        <w:t>3. Cronograma Detallado</w:t>
      </w:r>
    </w:p>
    <w:p w14:paraId="28ECE1AF">
      <w:pPr>
        <w:spacing w:after="150"/>
      </w:pPr>
      <w:r>
        <w:t>Distribución semanal de tareas siguiendo las fases de CRISP-DM. Ajustar semanas según la fecha de entrega real.</w:t>
      </w:r>
    </w:p>
    <w:tbl>
      <w:tblPr>
        <w:tblW w:w="1010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1600"/>
        <w:gridCol w:w="3600"/>
        <w:gridCol w:w="2200"/>
        <w:gridCol w:w="1800"/>
      </w:tblGrid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64D54723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53E36FB5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Fase CRISP-DM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5CB64251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Tareas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33A82CAE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Entregable parcial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2D36D04D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169578E">
            <w:pPr>
              <w:spacing w:after="160" w:line="259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F21702C">
            <w:pPr>
              <w:spacing w:after="160" w:line="259" w:lineRule="auto"/>
            </w:pPr>
            <w:r>
              <w:rPr>
                <w:sz w:val="20"/>
                <w:szCs w:val="20"/>
              </w:rPr>
              <w:t>Business Understanding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645FE07">
            <w:pPr>
              <w:spacing w:after="160" w:line="259" w:lineRule="auto"/>
            </w:pPr>
            <w:r>
              <w:rPr>
                <w:sz w:val="20"/>
                <w:szCs w:val="20"/>
              </w:rPr>
              <w:t>Definir problema, objetivos y alcance del proyecto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006A9A0">
            <w:pPr>
              <w:spacing w:after="160" w:line="259" w:lineRule="auto"/>
            </w:pPr>
            <w:r>
              <w:rPr>
                <w:sz w:val="20"/>
                <w:szCs w:val="20"/>
              </w:rPr>
              <w:t>Documento de objetivos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5E26BAA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5821A23">
            <w:pPr>
              <w:spacing w:after="160" w:line="259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C619CF6">
            <w:pPr>
              <w:spacing w:after="160" w:line="259" w:lineRule="auto"/>
            </w:pPr>
            <w:r>
              <w:rPr>
                <w:sz w:val="20"/>
                <w:szCs w:val="20"/>
              </w:rPr>
              <w:t>Data Understanding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4E1AE18">
            <w:pPr>
              <w:spacing w:after="160" w:line="259" w:lineRule="auto"/>
            </w:pPr>
            <w:r>
              <w:rPr>
                <w:sz w:val="20"/>
                <w:szCs w:val="20"/>
              </w:rPr>
              <w:t>Buscar y descargar el dataset; primer diagnóstico de columnas y calidad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4E8AB86">
            <w:pPr>
              <w:spacing w:after="160" w:line="259" w:lineRule="auto"/>
            </w:pPr>
            <w:r>
              <w:rPr>
                <w:sz w:val="20"/>
                <w:szCs w:val="20"/>
              </w:rPr>
              <w:t>Reporte de EDA inicial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D8C128F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C172686">
            <w:pPr>
              <w:spacing w:after="160" w:line="259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658BCAB">
            <w:pPr>
              <w:spacing w:after="160" w:line="259" w:lineRule="auto"/>
            </w:pPr>
            <w:r>
              <w:rPr>
                <w:sz w:val="20"/>
                <w:szCs w:val="20"/>
              </w:rPr>
              <w:t>Data Understanding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9AF38D6">
            <w:pPr>
              <w:spacing w:after="160" w:line="259" w:lineRule="auto"/>
            </w:pPr>
            <w:r>
              <w:rPr>
                <w:sz w:val="20"/>
                <w:szCs w:val="20"/>
              </w:rPr>
              <w:t>Análisis exploratorio completo (distribuciones, correlaciones, outliers)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8FC59A7">
            <w:pPr>
              <w:spacing w:after="160" w:line="259" w:lineRule="auto"/>
            </w:pPr>
            <w:r>
              <w:rPr>
                <w:sz w:val="20"/>
                <w:szCs w:val="20"/>
              </w:rPr>
              <w:t>Notebook de EDA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1C62C30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50FE96F">
            <w:pPr>
              <w:spacing w:after="160" w:line="259" w:lineRule="auto"/>
            </w:pPr>
            <w:r>
              <w:rPr>
                <w:sz w:val="20"/>
                <w:szCs w:val="20"/>
              </w:rPr>
              <w:t>4-5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CC5FBEB">
            <w:pPr>
              <w:spacing w:after="160" w:line="259" w:lineRule="auto"/>
            </w:pPr>
            <w:r>
              <w:rPr>
                <w:sz w:val="20"/>
                <w:szCs w:val="20"/>
              </w:rPr>
              <w:t>Data Preparation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F7ABA3F">
            <w:pPr>
              <w:spacing w:after="160" w:line="259" w:lineRule="auto"/>
            </w:pPr>
            <w:r>
              <w:rPr>
                <w:sz w:val="20"/>
                <w:szCs w:val="20"/>
              </w:rPr>
              <w:t>Limpieza, tratamiento de nulos/outliers, construcción de variables nuevas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A14B8D5">
            <w:pPr>
              <w:spacing w:after="160" w:line="259" w:lineRule="auto"/>
            </w:pPr>
            <w:r>
              <w:rPr>
                <w:sz w:val="20"/>
                <w:szCs w:val="20"/>
              </w:rPr>
              <w:t>Dataset limpio y documentado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AE83D55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7EF9D10">
            <w:pPr>
              <w:spacing w:after="160" w:line="259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232619D">
            <w:pPr>
              <w:spacing w:after="160" w:line="259" w:lineRule="auto"/>
            </w:pPr>
            <w:r>
              <w:rPr>
                <w:sz w:val="20"/>
                <w:szCs w:val="20"/>
              </w:rPr>
              <w:t>Data Preparation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0EED75D">
            <w:pPr>
              <w:spacing w:after="160" w:line="259" w:lineRule="auto"/>
            </w:pPr>
            <w:r>
              <w:rPr>
                <w:sz w:val="20"/>
                <w:szCs w:val="20"/>
              </w:rPr>
              <w:t>Integración de fuentes (si aplica) y formato final para modelado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D8AB5D7">
            <w:pPr>
              <w:spacing w:after="160" w:line="259" w:lineRule="auto"/>
            </w:pPr>
            <w:r>
              <w:rPr>
                <w:sz w:val="20"/>
                <w:szCs w:val="20"/>
              </w:rPr>
              <w:t>Dataset final (train/test)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99B178F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6ADCF4D">
            <w:pPr>
              <w:spacing w:after="160" w:line="259" w:lineRule="auto"/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576EAB4">
            <w:pPr>
              <w:spacing w:after="160" w:line="259" w:lineRule="auto"/>
            </w:pPr>
            <w:r>
              <w:rPr>
                <w:sz w:val="20"/>
                <w:szCs w:val="20"/>
              </w:rPr>
              <w:t>Modeling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6A4DF72">
            <w:pPr>
              <w:spacing w:after="160" w:line="259" w:lineRule="auto"/>
            </w:pPr>
            <w:r>
              <w:rPr>
                <w:sz w:val="20"/>
                <w:szCs w:val="20"/>
              </w:rPr>
              <w:t>Entrenar modelo(s) baseline y modelo(s) más complejos; ajustar hiperparámetros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BA5E9BB">
            <w:pPr>
              <w:spacing w:after="160" w:line="259" w:lineRule="auto"/>
            </w:pPr>
            <w:r>
              <w:rPr>
                <w:sz w:val="20"/>
                <w:szCs w:val="20"/>
              </w:rPr>
              <w:t>Modelos entrenados + métricas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277D90D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8D8CE98">
            <w:pPr>
              <w:spacing w:after="160" w:line="259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BD1240C">
            <w:pPr>
              <w:spacing w:after="160" w:line="259" w:lineRule="auto"/>
            </w:pPr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F2C92C4">
            <w:pPr>
              <w:spacing w:after="160" w:line="259" w:lineRule="auto"/>
            </w:pPr>
            <w:r>
              <w:rPr>
                <w:sz w:val="20"/>
                <w:szCs w:val="20"/>
              </w:rPr>
              <w:t>Comparar métricas contra el objetivo, analizar limitaciones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AAA4EE3">
            <w:pPr>
              <w:spacing w:after="160" w:line="259" w:lineRule="auto"/>
            </w:pPr>
            <w:r>
              <w:rPr>
                <w:sz w:val="20"/>
                <w:szCs w:val="20"/>
              </w:rPr>
              <w:t>Reporte de evaluación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D6A22C8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CC2994D">
            <w:pPr>
              <w:spacing w:after="160" w:line="259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4367BB5">
            <w:pPr>
              <w:spacing w:after="160" w:line="259" w:lineRule="auto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E24FCCD">
            <w:pPr>
              <w:spacing w:after="160" w:line="259" w:lineRule="auto"/>
            </w:pPr>
            <w:r>
              <w:rPr>
                <w:sz w:val="20"/>
                <w:szCs w:val="20"/>
              </w:rPr>
              <w:t>Armar informe final, gráficos/dashboard y preparar la presentación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CE0FC26">
            <w:pPr>
              <w:spacing w:after="160" w:line="259" w:lineRule="auto"/>
            </w:pPr>
            <w:r>
              <w:rPr>
                <w:sz w:val="20"/>
                <w:szCs w:val="20"/>
              </w:rPr>
              <w:t>Informe final + presentación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5D8F2B8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  <w:tr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C4FEA6C">
            <w:pPr>
              <w:spacing w:after="160" w:line="259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2C0D41E">
            <w:pPr>
              <w:spacing w:after="160" w:line="259" w:lineRule="auto"/>
            </w:pPr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CB7D487">
            <w:pPr>
              <w:spacing w:after="160" w:line="259" w:lineRule="auto"/>
            </w:pPr>
            <w:r>
              <w:rPr>
                <w:sz w:val="20"/>
                <w:szCs w:val="20"/>
              </w:rPr>
              <w:t>Revisión final, ajustes y ensayo de la defensa/presentación</w:t>
            </w:r>
          </w:p>
        </w:tc>
        <w:tc>
          <w:tcPr>
            <w:tcW w:w="2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4ECF5D4">
            <w:pPr>
              <w:spacing w:after="160" w:line="259" w:lineRule="auto"/>
            </w:pPr>
            <w:r>
              <w:rPr>
                <w:sz w:val="20"/>
                <w:szCs w:val="20"/>
              </w:rPr>
              <w:t>Entrega definitiva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BF8E127">
            <w:pPr>
              <w:spacing w:after="160" w:line="259" w:lineRule="auto"/>
            </w:pPr>
            <w:r>
              <w:rPr>
                <w:sz w:val="20"/>
                <w:szCs w:val="20"/>
              </w:rPr>
              <w:t>Elias Campos</w:t>
            </w:r>
          </w:p>
        </w:tc>
      </w:tr>
    </w:tbl>
    <w:p w14:paraId="148B312D">
      <w:pPr>
        <w:pStyle w:val="Heading1"/>
        <w:spacing w:before="300" w:after="150"/>
      </w:pPr>
      <w:r>
        <w:rPr>
          <w:b/>
          <w:bCs/>
          <w:color w:val="2E74B5"/>
          <w:sz w:val="28"/>
          <w:szCs w:val="28"/>
        </w:rPr>
        <w:t>4. Recursos y Herramientas</w:t>
      </w:r>
    </w:p>
    <w:p w14:paraId="6BCB71ED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Lenguaje / herramientas de análisis: </w:t>
      </w:r>
      <w:r>
        <w:rPr>
          <w:i/>
          <w:iCs/>
        </w:rPr>
        <w:t>Python (pandas, numpy, scikit-learn, statsmodels), Jupyter Notebook / Google Colab, y Orange Data Mining (indicado por la cátedra) para partes complementarias del flujo de trabajo</w:t>
      </w:r>
    </w:p>
    <w:p w14:paraId="60A6D084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Herramientas de visualización: </w:t>
      </w:r>
      <w:r>
        <w:rPr>
          <w:i/>
          <w:iCs/>
        </w:rPr>
        <w:t>Matplotlib, Seaborn, Plotly</w:t>
      </w:r>
    </w:p>
    <w:p w14:paraId="3B39731E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Fuente de datos: </w:t>
      </w:r>
      <w:r>
        <w:rPr>
          <w:i/>
          <w:iCs/>
        </w:rPr>
        <w:t>Our World in Data — Annual Temperature Anomalies (Copernicus C3S/ERA5), Average Precipitation per Year (Copernicus C3S/ERA5), Annual CO2 Emissions (Global Carbon Project) y GDP (Penn World Table, PBI real en USD PPP 2021), todos filtrados por Argentina y combinados por año. Período utilizado: 1972-2023 (52 años). Para la extensión por provincia (Sección 11 del Trabajo Integrador): NASA POWER (temperatura, precipitación y viento por coordenadas, desde 1981).</w:t>
      </w:r>
    </w:p>
    <w:p w14:paraId="1906D041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Otros recursos: </w:t>
      </w:r>
      <w:r>
        <w:rPr>
          <w:i/>
          <w:iCs/>
        </w:rPr>
        <w:t>Google Colab, bibliografía de la cátedra (Técnicas de Ciencia de Datos, Instituto 57)</w:t>
      </w:r>
    </w:p>
    <w:p w14:paraId="0C8DB318">
      <w:pPr>
        <w:pStyle w:val="Heading1"/>
        <w:spacing w:before="300" w:after="150"/>
      </w:pPr>
      <w:r>
        <w:rPr>
          <w:b/>
          <w:bCs/>
          <w:color w:val="2E74B5"/>
          <w:sz w:val="28"/>
          <w:szCs w:val="28"/>
        </w:rPr>
        <w:t>5. Riesgos y Mitigación</w:t>
      </w:r>
    </w:p>
    <w:p w14:paraId="5274F8FF">
      <w:pPr>
        <w:spacing w:after="150"/>
      </w:pPr>
      <w:r>
        <w:t>Riesgos genéricos de este tipo de proyecto y cómo se piensan mitigar. Completar o ajustar según el proyecto elegido.</w:t>
      </w:r>
    </w:p>
    <w:tbl>
      <w:tblPr>
        <w:tblW w:w="1010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00"/>
        <w:gridCol w:w="1400"/>
        <w:gridCol w:w="1400"/>
        <w:gridCol w:w="4100"/>
      </w:tblGrid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5A8B12FF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0820FBD4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Probabilidad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2DC17083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fill="D9E2F3"/>
          </w:tcPr>
          <w:p w14:paraId="5FBD0984">
            <w:pPr>
              <w:spacing w:after="160" w:line="259" w:lineRule="auto"/>
            </w:pPr>
            <w:r>
              <w:rPr>
                <w:b/>
                <w:bCs/>
                <w:sz w:val="20"/>
                <w:szCs w:val="20"/>
              </w:rPr>
              <w:t>Mitigación</w:t>
            </w:r>
          </w:p>
        </w:tc>
      </w:tr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FAC340F">
            <w:pPr>
              <w:spacing w:after="160" w:line="259" w:lineRule="auto"/>
            </w:pPr>
            <w:r>
              <w:rPr>
                <w:sz w:val="20"/>
                <w:szCs w:val="20"/>
              </w:rPr>
              <w:t>Dataset con datos faltantes o de baja calidad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C99D7F0">
            <w:pPr>
              <w:spacing w:after="160" w:line="259" w:lineRule="auto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4EB8BFC">
            <w:pPr>
              <w:spacing w:after="160" w:line="259" w:lineRule="auto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1FE1DB98">
            <w:pPr>
              <w:spacing w:after="160" w:line="259" w:lineRule="auto"/>
            </w:pPr>
            <w:r>
              <w:rPr>
                <w:sz w:val="20"/>
                <w:szCs w:val="20"/>
              </w:rPr>
              <w:t>Definir criterios de limpieza desde etapa temprana; tener fuente alternativa de respaldo</w:t>
            </w:r>
          </w:p>
        </w:tc>
      </w:tr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BD1B736">
            <w:pPr>
              <w:spacing w:after="160" w:line="259" w:lineRule="auto"/>
            </w:pPr>
            <w:r>
              <w:rPr>
                <w:sz w:val="20"/>
                <w:szCs w:val="20"/>
              </w:rPr>
              <w:t>Retrasos en la etapa de obtención/integración de datos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734C83A">
            <w:pPr>
              <w:spacing w:after="160" w:line="259" w:lineRule="auto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EF3AB21">
            <w:pPr>
              <w:spacing w:after="160" w:line="259" w:lineRule="auto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618FB45">
            <w:pPr>
              <w:spacing w:after="160" w:line="259" w:lineRule="auto"/>
            </w:pPr>
            <w:r>
              <w:rPr>
                <w:sz w:val="20"/>
                <w:szCs w:val="20"/>
              </w:rPr>
              <w:t>Empezar la búsqueda de datos en la semana 1, no esperar a tener el objetivo 100% cerrado</w:t>
            </w:r>
          </w:p>
        </w:tc>
      </w:tr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27024BF">
            <w:pPr>
              <w:spacing w:after="160" w:line="259" w:lineRule="auto"/>
            </w:pPr>
            <w:r>
              <w:rPr>
                <w:sz w:val="20"/>
                <w:szCs w:val="20"/>
              </w:rPr>
              <w:t>El modelo no logra buen desempeño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1735D76">
            <w:pPr>
              <w:spacing w:after="160" w:line="259" w:lineRule="auto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E46BF22">
            <w:pPr>
              <w:spacing w:after="160" w:line="259" w:lineRule="auto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A54DBC4">
            <w:pPr>
              <w:spacing w:after="160" w:line="259" w:lineRule="auto"/>
            </w:pPr>
            <w:r>
              <w:rPr>
                <w:sz w:val="20"/>
                <w:szCs w:val="20"/>
              </w:rPr>
              <w:t>Tener un baseline simple desde el principio y ajustar expectativas de las métricas de éxito</w:t>
            </w:r>
          </w:p>
        </w:tc>
      </w:tr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E34EDD1">
            <w:pPr>
              <w:spacing w:after="160" w:line="259" w:lineRule="auto"/>
            </w:pPr>
            <w:r>
              <w:rPr>
                <w:sz w:val="20"/>
                <w:szCs w:val="20"/>
              </w:rPr>
              <w:t>Alcance demasiado ambicioso para el tiempo disponible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5A79E91">
            <w:pPr>
              <w:spacing w:after="160" w:line="259" w:lineRule="auto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01EF480">
            <w:pPr>
              <w:spacing w:after="160" w:line="259" w:lineRule="auto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3246772A">
            <w:pPr>
              <w:spacing w:after="160" w:line="259" w:lineRule="auto"/>
            </w:pPr>
            <w:r>
              <w:rPr>
                <w:sz w:val="20"/>
                <w:szCs w:val="20"/>
              </w:rPr>
              <w:t>Priorizar un MVP (versión mínima viable) y dejar mejoras como trabajo futuro</w:t>
            </w:r>
          </w:p>
        </w:tc>
      </w:tr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1A06250">
            <w:pPr>
              <w:spacing w:after="160" w:line="259" w:lineRule="auto"/>
            </w:pPr>
            <w:r>
              <w:rPr>
                <w:sz w:val="20"/>
                <w:szCs w:val="20"/>
              </w:rPr>
              <w:t>Dependencia de una sola persona para tareas clave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31894B3">
            <w:pPr>
              <w:spacing w:after="160" w:line="259" w:lineRule="auto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295B7E31">
            <w:pPr>
              <w:spacing w:after="160" w:line="259" w:lineRule="auto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56E25FFF">
            <w:pPr>
              <w:spacing w:after="160" w:line="259" w:lineRule="auto"/>
            </w:pPr>
            <w:r>
              <w:rPr>
                <w:sz w:val="20"/>
                <w:szCs w:val="20"/>
              </w:rPr>
              <w:t>Documentar el proceso paso a paso para poder retomarlo o delegarlo si hace falta</w:t>
            </w:r>
          </w:p>
        </w:tc>
      </w:tr>
      <w:tr>
        <w:tc>
          <w:tcPr>
            <w:tcW w:w="3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4660F496">
            <w:pPr>
              <w:spacing w:after="160" w:line="259" w:lineRule="auto"/>
            </w:pPr>
            <w:r>
              <w:rPr>
                <w:sz w:val="20"/>
                <w:szCs w:val="20"/>
              </w:rPr>
              <w:t>Una sola variable explicativa (PBI) puede no alcanzar para explicar el indicador climático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6FCE33FF">
            <w:pPr>
              <w:spacing w:after="160" w:line="259" w:lineRule="auto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7D231CD2">
            <w:pPr>
              <w:spacing w:after="160" w:line="259" w:lineRule="auto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</w:tcPr>
          <w:p w14:paraId="0D6C3772">
            <w:pPr>
              <w:spacing w:after="160" w:line="259" w:lineRule="auto"/>
            </w:pPr>
            <w:r>
              <w:rPr>
                <w:sz w:val="20"/>
                <w:szCs w:val="20"/>
              </w:rPr>
              <w:t>Evaluar incorporar variables adicionales (población, consumo de energía) si el modelo simple no alcanza el desempeño esperado</w:t>
            </w:r>
          </w:p>
        </w:tc>
      </w:tr>
    </w:tbl>
    <w:p w14:paraId="7A77AE9C">
      <w:pPr>
        <w:pStyle w:val="Heading1"/>
        <w:spacing w:before="300" w:after="150"/>
      </w:pPr>
      <w:r>
        <w:rPr>
          <w:b/>
          <w:bCs/>
          <w:color w:val="2E74B5"/>
          <w:sz w:val="28"/>
          <w:szCs w:val="28"/>
        </w:rPr>
        <w:t>6. Hitos y Criterios de Éxito</w:t>
      </w:r>
    </w:p>
    <w:p w14:paraId="2ABF77BA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Hito 1: </w:t>
      </w:r>
      <w:r>
        <w:rPr>
          <w:i/>
          <w:iCs/>
        </w:rPr>
        <w:t>Dataset de Argentina limpio y EDA completo (fin de semana 3)</w:t>
      </w:r>
    </w:p>
    <w:p w14:paraId="7F22318F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Hito 2: </w:t>
      </w:r>
      <w:r>
        <w:rPr>
          <w:i/>
          <w:iCs/>
        </w:rPr>
        <w:t>Dataset preparado con la variable de PBI, listo para modelar (fin de semana 6)</w:t>
      </w:r>
    </w:p>
    <w:p w14:paraId="74BCA934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Hito 3: </w:t>
      </w:r>
      <w:r>
        <w:rPr>
          <w:i/>
          <w:iCs/>
        </w:rPr>
        <w:t>Modelo(s) predictivo(s) entrenados y evaluados (fin de semana 9)</w:t>
      </w:r>
    </w:p>
    <w:p w14:paraId="3D3AA76C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Hito 3b: </w:t>
      </w:r>
      <w:r>
        <w:rPr>
          <w:i/>
          <w:iCs/>
        </w:rPr>
        <w:t>Extensión por provincia (24 capitales) corrida y ranking de calentamiento obtenido (fin de semana 9)</w:t>
      </w:r>
    </w:p>
    <w:p w14:paraId="299B7E92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Hito 4: </w:t>
      </w:r>
      <w:r>
        <w:rPr>
          <w:i/>
          <w:iCs/>
        </w:rPr>
        <w:t>Informe final y presentación listos (fin de semana 11)</w:t>
      </w:r>
    </w:p>
    <w:p w14:paraId="2064C8A8">
      <w:pPr>
        <w:pStyle w:val="ListParagraph"/>
        <w:numPr>
          <w:ilvl w:val="0"/>
          <w:numId w:val="2"/>
        </w:numPr>
        <w:spacing w:after="120"/>
        <w:ind w:left="720" w:hanging="360"/>
      </w:pPr>
      <w:r>
        <w:rPr>
          <w:b/>
          <w:bCs/>
        </w:rPr>
        <w:t xml:space="preserve">Criterio de éxito: </w:t>
      </w:r>
      <w:r>
        <w:rPr>
          <w:i/>
          <w:iCs/>
        </w:rPr>
        <w:t>El modelo de predicción supera a un baseline simple (repetir el último valor observado) en al menos un 15% de reducción del error, y el análisis PBI-cambio climático arroja conclusiones claras respaldadas por visualizaciones</w:t>
      </w:r>
    </w:p>
    <w:sectPr>
      <w:pgSz w:w="12240" w:h="15840"/>
      <w:pgMar w:top="1440" w:right="1440" w:bottom="1440" w:left="144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2026-09-21T21:47:16.684Z</dcterms:created>
  <dcterms:modified xsi:type="dcterms:W3CDTF">2026-09-27T21:32:34.283Z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