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E3A5F"/>
          <w:sz w:val="44"/>
        </w:rPr>
        <w:t>INSTITUTO 57</w:t>
      </w:r>
    </w:p>
    <w:p>
      <w:pPr>
        <w:spacing w:after="40"/>
        <w:jc w:val="center"/>
      </w:pPr>
      <w:r>
        <w:rPr>
          <w:b w:val="0"/>
          <w:i w:val="0"/>
          <w:color w:val="2E5077"/>
          <w:sz w:val="25"/>
        </w:rPr>
        <w:t>Tecnicatura Superior en Ciencia de Datos e Inteligencia Artificial</w:t>
      </w:r>
    </w:p>
    <w:p>
      <w:pPr>
        <w:spacing w:after="0"/>
        <w:jc w:val="center"/>
      </w:pPr>
      <w:r>
        <w:rPr>
          <w:b w:val="0"/>
          <w:i w:val="0"/>
          <w:color w:val="505A64"/>
          <w:sz w:val="22"/>
        </w:rPr>
        <w:t>Análisis y Exploración de Datos — 2.º año, grupo 6</w:t>
      </w:r>
    </w:p>
    <w:p>
      <w:pPr>
        <w:spacing w:after="600"/>
      </w:pPr>
    </w:p>
    <w:p>
      <w:pPr>
        <w:pBdr>
          <w:bottom w:val="single" w:sz="12" w:space="6" w:color="1E3A5F"/>
        </w:pBdr>
        <w:spacing w:after="120"/>
        <w:jc w:val="center"/>
      </w:pPr>
      <w:r>
        <w:rPr>
          <w:b/>
          <w:i w:val="0"/>
          <w:color w:val="1E3A5F"/>
          <w:sz w:val="48"/>
        </w:rPr>
        <w:t>TRABAJO PRÁCTICO INTEGRADOR</w:t>
      </w:r>
    </w:p>
    <w:p>
      <w:pPr>
        <w:spacing w:before="240" w:after="120"/>
        <w:jc w:val="center"/>
      </w:pPr>
      <w:r>
        <w:rPr>
          <w:b/>
          <w:i w:val="0"/>
          <w:color w:val="2E5077"/>
          <w:sz w:val="28"/>
        </w:rPr>
        <w:t>Cambio climático en Argentina y su relación con el crecimiento económico (PBI)</w:t>
      </w:r>
    </w:p>
    <w:p>
      <w:pPr>
        <w:spacing w:after="520"/>
        <w:jc w:val="center"/>
      </w:pPr>
      <w:r>
        <w:rPr>
          <w:b w:val="0"/>
          <w:i/>
          <w:color w:val="505A64"/>
          <w:sz w:val="21"/>
        </w:rPr>
        <w:t>Informe metodológico — procedimiento previsto de recolección, preparación, modelado y evaluación de datos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4759"/>
        <w:gridCol w:w="4759"/>
      </w:tblGrid>
      <w:tr>
        <w:trPr>
          <w:cantSplit w:val="true"/>
          <w:tblHeader w:val="true"/>
        </w:trPr>
        <w:tc>
          <w:tcPr>
            <w:tcW w:type="dxa" w:w="2857"/>
            <w:shd w:val="clear" w:color="auto" w:fill="1E3A5F"/>
            <w:vAlign w:val="center"/>
          </w:tcPr>
          <w:p>
            <w:pPr>
              <w:spacing w:before="40" w:after="40"/>
            </w:pPr>
            <w:r>
              <w:rPr>
                <w:b/>
                <w:i w:val="0"/>
                <w:color w:val="FFFFFF"/>
                <w:sz w:val="19"/>
              </w:rPr>
              <w:t>Campo</w:t>
            </w:r>
          </w:p>
        </w:tc>
        <w:tc>
          <w:tcPr>
            <w:tcW w:type="dxa" w:w="6667"/>
            <w:shd w:val="clear" w:color="auto" w:fill="1E3A5F"/>
            <w:vAlign w:val="center"/>
          </w:tcPr>
          <w:p>
            <w:pPr>
              <w:spacing w:before="40" w:after="40"/>
            </w:pPr>
            <w:r>
              <w:rPr>
                <w:b/>
                <w:i w:val="0"/>
                <w:color w:val="FFFFFF"/>
                <w:sz w:val="19"/>
              </w:rPr>
              <w:t>Detalle</w:t>
            </w:r>
          </w:p>
        </w:tc>
      </w:tr>
      <w:tr>
        <w:trPr>
          <w:cantSplit w:val="true"/>
        </w:trPr>
        <w:tc>
          <w:tcPr>
            <w:tcW w:type="dxa" w:w="2857"/>
            <w:shd w:val="clear" w:color="auto" w:fill="E8EEF5"/>
            <w:vAlign w:val="top"/>
          </w:tcPr>
          <w:p>
            <w:pPr>
              <w:spacing w:before="20" w:after="20" w:line="252" w:lineRule="auto"/>
            </w:pPr>
            <w:r>
              <w:rPr>
                <w:b w:val="0"/>
                <w:i w:val="0"/>
                <w:sz w:val="20"/>
              </w:rPr>
              <w:t>Proyecto</w:t>
            </w:r>
          </w:p>
        </w:tc>
        <w:tc>
          <w:tcPr>
            <w:tcW w:type="dxa" w:w="6667"/>
            <w:vAlign w:val="top"/>
          </w:tcPr>
          <w:p>
            <w:pPr>
              <w:spacing w:before="20" w:after="20" w:line="252" w:lineRule="auto"/>
            </w:pPr>
            <w:r>
              <w:rPr>
                <w:b w:val="0"/>
                <w:i w:val="0"/>
                <w:sz w:val="20"/>
              </w:rPr>
              <w:t>Cambio climático en Argentina y su relación con el crecimiento económico (PBI)</w:t>
            </w:r>
          </w:p>
        </w:tc>
      </w:tr>
      <w:tr>
        <w:trPr>
          <w:cantSplit w:val="true"/>
        </w:trPr>
        <w:tc>
          <w:tcPr>
            <w:tcW w:type="dxa" w:w="2857"/>
            <w:shd w:val="clear" w:color="auto" w:fill="E8EEF5"/>
            <w:vAlign w:val="top"/>
          </w:tcPr>
          <w:p>
            <w:pPr>
              <w:spacing w:before="20" w:after="20" w:line="252" w:lineRule="auto"/>
            </w:pPr>
            <w:r>
              <w:rPr>
                <w:b w:val="0"/>
                <w:i w:val="0"/>
                <w:sz w:val="20"/>
              </w:rPr>
              <w:t>Tipo de documento</w:t>
            </w:r>
          </w:p>
        </w:tc>
        <w:tc>
          <w:tcPr>
            <w:tcW w:type="dxa" w:w="6667"/>
            <w:shd w:val="clear" w:color="auto" w:fill="F6F9FC"/>
            <w:vAlign w:val="top"/>
          </w:tcPr>
          <w:p>
            <w:pPr>
              <w:spacing w:before="20" w:after="20" w:line="252" w:lineRule="auto"/>
            </w:pPr>
            <w:r>
              <w:rPr>
                <w:b w:val="0"/>
                <w:i w:val="0"/>
                <w:sz w:val="20"/>
              </w:rPr>
              <w:t>Informe final — Trabajo Práctico Integrador</w:t>
            </w:r>
          </w:p>
        </w:tc>
      </w:tr>
      <w:tr>
        <w:trPr>
          <w:cantSplit w:val="true"/>
        </w:trPr>
        <w:tc>
          <w:tcPr>
            <w:tcW w:type="dxa" w:w="2857"/>
            <w:shd w:val="clear" w:color="auto" w:fill="E8EEF5"/>
            <w:vAlign w:val="top"/>
          </w:tcPr>
          <w:p>
            <w:pPr>
              <w:spacing w:before="20" w:after="20" w:line="252" w:lineRule="auto"/>
            </w:pPr>
            <w:r>
              <w:rPr>
                <w:b w:val="0"/>
                <w:i w:val="0"/>
                <w:sz w:val="20"/>
              </w:rPr>
              <w:t>Metodología</w:t>
            </w:r>
          </w:p>
        </w:tc>
        <w:tc>
          <w:tcPr>
            <w:tcW w:type="dxa" w:w="6667"/>
            <w:vAlign w:val="top"/>
          </w:tcPr>
          <w:p>
            <w:pPr>
              <w:spacing w:before="20" w:after="20" w:line="252" w:lineRule="auto"/>
            </w:pPr>
            <w:r>
              <w:rPr>
                <w:b w:val="0"/>
                <w:i w:val="0"/>
                <w:sz w:val="20"/>
              </w:rPr>
              <w:t>CRISP-DM (Cross Industry Standard Process for Data Mining)</w:t>
            </w:r>
          </w:p>
        </w:tc>
      </w:tr>
      <w:tr>
        <w:trPr>
          <w:cantSplit w:val="true"/>
        </w:trPr>
        <w:tc>
          <w:tcPr>
            <w:tcW w:type="dxa" w:w="2857"/>
            <w:shd w:val="clear" w:color="auto" w:fill="E8EEF5"/>
            <w:vAlign w:val="top"/>
          </w:tcPr>
          <w:p>
            <w:pPr>
              <w:spacing w:before="20" w:after="20" w:line="252" w:lineRule="auto"/>
            </w:pPr>
            <w:r>
              <w:rPr>
                <w:b w:val="0"/>
                <w:i w:val="0"/>
                <w:sz w:val="20"/>
              </w:rPr>
              <w:t>Autores</w:t>
            </w:r>
          </w:p>
        </w:tc>
        <w:tc>
          <w:tcPr>
            <w:tcW w:type="dxa" w:w="6667"/>
            <w:shd w:val="clear" w:color="auto" w:fill="F6F9FC"/>
            <w:vAlign w:val="top"/>
          </w:tcPr>
          <w:p>
            <w:pPr>
              <w:spacing w:before="20" w:after="20" w:line="252" w:lineRule="auto"/>
            </w:pPr>
            <w:r>
              <w:rPr>
                <w:b w:val="0"/>
                <w:i w:val="0"/>
                <w:sz w:val="20"/>
              </w:rPr>
              <w:t>Elias Campos · Tiago Maidana · Rodrigo Bulggiani · Romina Guzman</w:t>
            </w:r>
          </w:p>
        </w:tc>
      </w:tr>
      <w:tr>
        <w:trPr>
          <w:cantSplit w:val="true"/>
        </w:trPr>
        <w:tc>
          <w:tcPr>
            <w:tcW w:type="dxa" w:w="2857"/>
            <w:shd w:val="clear" w:color="auto" w:fill="E8EEF5"/>
            <w:vAlign w:val="top"/>
          </w:tcPr>
          <w:p>
            <w:pPr>
              <w:spacing w:before="20" w:after="20" w:line="252" w:lineRule="auto"/>
            </w:pPr>
            <w:r>
              <w:rPr>
                <w:b w:val="0"/>
                <w:i w:val="0"/>
                <w:sz w:val="20"/>
              </w:rPr>
              <w:t>Docente</w:t>
            </w:r>
          </w:p>
        </w:tc>
        <w:tc>
          <w:tcPr>
            <w:tcW w:type="dxa" w:w="6667"/>
            <w:vAlign w:val="top"/>
          </w:tcPr>
          <w:p>
            <w:pPr>
              <w:spacing w:before="20" w:after="20" w:line="252" w:lineRule="auto"/>
            </w:pPr>
            <w:r>
              <w:rPr>
                <w:b w:val="0"/>
                <w:i w:val="0"/>
                <w:sz w:val="20"/>
              </w:rPr>
              <w:t>Ibarra Martín</w:t>
            </w:r>
          </w:p>
        </w:tc>
      </w:tr>
      <w:tr>
        <w:trPr>
          <w:cantSplit w:val="true"/>
        </w:trPr>
        <w:tc>
          <w:tcPr>
            <w:tcW w:type="dxa" w:w="2857"/>
            <w:shd w:val="clear" w:color="auto" w:fill="E8EEF5"/>
            <w:vAlign w:val="top"/>
          </w:tcPr>
          <w:p>
            <w:pPr>
              <w:spacing w:before="20" w:after="20" w:line="252" w:lineRule="auto"/>
            </w:pPr>
            <w:r>
              <w:rPr>
                <w:b w:val="0"/>
                <w:i w:val="0"/>
                <w:sz w:val="20"/>
              </w:rPr>
              <w:t>Comisión</w:t>
            </w:r>
          </w:p>
        </w:tc>
        <w:tc>
          <w:tcPr>
            <w:tcW w:type="dxa" w:w="6667"/>
            <w:shd w:val="clear" w:color="auto" w:fill="F6F9FC"/>
            <w:vAlign w:val="top"/>
          </w:tcPr>
          <w:p>
            <w:pPr>
              <w:spacing w:before="20" w:after="20" w:line="252" w:lineRule="auto"/>
            </w:pPr>
            <w:r>
              <w:rPr>
                <w:b w:val="0"/>
                <w:i w:val="0"/>
                <w:sz w:val="20"/>
              </w:rPr>
              <w:t>2.º año — grupo 6</w:t>
            </w:r>
          </w:p>
        </w:tc>
      </w:tr>
      <w:tr>
        <w:trPr>
          <w:cantSplit w:val="true"/>
        </w:trPr>
        <w:tc>
          <w:tcPr>
            <w:tcW w:type="dxa" w:w="2857"/>
            <w:shd w:val="clear" w:color="auto" w:fill="E8EEF5"/>
            <w:vAlign w:val="top"/>
          </w:tcPr>
          <w:p>
            <w:pPr>
              <w:spacing w:before="20" w:after="20" w:line="252" w:lineRule="auto"/>
            </w:pPr>
            <w:r>
              <w:rPr>
                <w:b w:val="0"/>
                <w:i w:val="0"/>
                <w:sz w:val="20"/>
              </w:rPr>
              <w:t>Período de análisis</w:t>
            </w:r>
          </w:p>
        </w:tc>
        <w:tc>
          <w:tcPr>
            <w:tcW w:type="dxa" w:w="6667"/>
            <w:vAlign w:val="top"/>
          </w:tcPr>
          <w:p>
            <w:pPr>
              <w:spacing w:before="20" w:after="20" w:line="252" w:lineRule="auto"/>
            </w:pPr>
            <w:r>
              <w:rPr>
                <w:b w:val="0"/>
                <w:i w:val="0"/>
                <w:sz w:val="20"/>
              </w:rPr>
              <w:t>1961–2024 (64 observaciones anuales)</w:t>
            </w:r>
          </w:p>
        </w:tc>
      </w:tr>
      <w:tr>
        <w:trPr>
          <w:cantSplit w:val="true"/>
        </w:trPr>
        <w:tc>
          <w:tcPr>
            <w:tcW w:type="dxa" w:w="2857"/>
            <w:shd w:val="clear" w:color="auto" w:fill="E8EEF5"/>
            <w:vAlign w:val="top"/>
          </w:tcPr>
          <w:p>
            <w:pPr>
              <w:spacing w:before="20" w:after="20" w:line="252" w:lineRule="auto"/>
            </w:pPr>
            <w:r>
              <w:rPr>
                <w:b w:val="0"/>
                <w:i w:val="0"/>
                <w:sz w:val="20"/>
              </w:rPr>
              <w:t>Fecha de emisión</w:t>
            </w:r>
          </w:p>
        </w:tc>
        <w:tc>
          <w:tcPr>
            <w:tcW w:type="dxa" w:w="6667"/>
            <w:shd w:val="clear" w:color="auto" w:fill="F6F9FC"/>
            <w:vAlign w:val="top"/>
          </w:tcPr>
          <w:p>
            <w:pPr>
              <w:spacing w:before="20" w:after="20" w:line="252" w:lineRule="auto"/>
            </w:pPr>
            <w:r>
              <w:rPr>
                <w:b w:val="0"/>
                <w:i w:val="0"/>
                <w:sz w:val="20"/>
              </w:rPr>
              <w:t>15/10/2026</w:t>
            </w:r>
          </w:p>
        </w:tc>
      </w:tr>
      <w:tr>
        <w:trPr>
          <w:cantSplit w:val="true"/>
        </w:trPr>
        <w:tc>
          <w:tcPr>
            <w:tcW w:type="dxa" w:w="2857"/>
            <w:shd w:val="clear" w:color="auto" w:fill="E8EEF5"/>
            <w:vAlign w:val="top"/>
          </w:tcPr>
          <w:p>
            <w:pPr>
              <w:spacing w:before="20" w:after="20" w:line="252" w:lineRule="auto"/>
            </w:pPr>
            <w:r>
              <w:rPr>
                <w:b w:val="0"/>
                <w:i w:val="0"/>
                <w:sz w:val="20"/>
              </w:rPr>
              <w:t>Versión</w:t>
            </w:r>
          </w:p>
        </w:tc>
        <w:tc>
          <w:tcPr>
            <w:tcW w:type="dxa" w:w="6667"/>
            <w:vAlign w:val="top"/>
          </w:tcPr>
          <w:p>
            <w:pPr>
              <w:spacing w:before="20" w:after="20" w:line="252" w:lineRule="auto"/>
            </w:pPr>
            <w:r>
              <w:rPr>
                <w:b w:val="0"/>
                <w:i w:val="0"/>
                <w:sz w:val="20"/>
              </w:rPr>
              <w:t>2.0 — versión prospectiva</w:t>
            </w:r>
          </w:p>
        </w:tc>
      </w:tr>
      <w:tr>
        <w:trPr>
          <w:cantSplit w:val="true"/>
        </w:trPr>
        <w:tc>
          <w:tcPr>
            <w:tcW w:type="dxa" w:w="2857"/>
            <w:shd w:val="clear" w:color="auto" w:fill="E8EEF5"/>
            <w:vAlign w:val="top"/>
          </w:tcPr>
          <w:p>
            <w:pPr>
              <w:spacing w:before="20" w:after="20" w:line="252" w:lineRule="auto"/>
            </w:pPr>
            <w:r>
              <w:rPr>
                <w:b w:val="0"/>
                <w:i w:val="0"/>
                <w:sz w:val="20"/>
              </w:rPr>
              <w:t>Documento complementario</w:t>
            </w:r>
          </w:p>
        </w:tc>
        <w:tc>
          <w:tcPr>
            <w:tcW w:type="dxa" w:w="6667"/>
            <w:shd w:val="clear" w:color="auto" w:fill="F6F9FC"/>
            <w:vAlign w:val="top"/>
          </w:tcPr>
          <w:p>
            <w:pPr>
              <w:spacing w:before="20" w:after="20" w:line="252" w:lineRule="auto"/>
            </w:pPr>
            <w:r>
              <w:rPr>
                <w:b w:val="0"/>
                <w:i w:val="0"/>
                <w:sz w:val="20"/>
              </w:rPr>
              <w:t>Plan de Proyecto (mismo repositorio)</w:t>
            </w:r>
          </w:p>
        </w:tc>
      </w:tr>
    </w:tbl>
    <w:p>
      <w:pPr>
        <w:spacing w:after="80"/>
      </w:pPr>
    </w:p>
    <w:p>
      <w:r>
        <w:br w:type="page"/>
      </w:r>
    </w:p>
    <w:p>
      <w:pPr>
        <w:pStyle w:val="Heading1"/>
        <w:pBdr>
          <w:bottom w:val="single" w:sz="6" w:space="6" w:color="B9C7D6"/>
        </w:pBdr>
      </w:pPr>
      <w:r>
        <w:t>Índice</w:t>
      </w:r>
    </w:p>
    <w:p>
      <w:pPr>
        <w:spacing w:after="40"/>
        <w:ind w:left="283"/>
      </w:pPr>
      <w:r>
        <w:rPr>
          <w:b w:val="0"/>
          <w:i w:val="0"/>
          <w:sz w:val="21"/>
        </w:rPr>
        <w:t>1. Introducción y fundamento</w:t>
      </w:r>
    </w:p>
    <w:p>
      <w:pPr>
        <w:spacing w:after="40"/>
        <w:ind w:left="283"/>
      </w:pPr>
      <w:r>
        <w:rPr>
          <w:b w:val="0"/>
          <w:i w:val="0"/>
          <w:sz w:val="21"/>
        </w:rPr>
        <w:t>2. Objetivos del proyecto</w:t>
      </w:r>
    </w:p>
    <w:p>
      <w:pPr>
        <w:spacing w:after="40"/>
        <w:ind w:left="283"/>
      </w:pPr>
      <w:r>
        <w:rPr>
          <w:b w:val="0"/>
          <w:i w:val="0"/>
          <w:sz w:val="21"/>
        </w:rPr>
        <w:t>3. Pregunta de investigación e hipótesis</w:t>
      </w:r>
    </w:p>
    <w:p>
      <w:pPr>
        <w:spacing w:after="40"/>
        <w:ind w:left="283"/>
      </w:pPr>
      <w:r>
        <w:rPr>
          <w:b w:val="0"/>
          <w:i w:val="0"/>
          <w:sz w:val="21"/>
        </w:rPr>
        <w:t>4. Marco teórico</w:t>
      </w:r>
    </w:p>
    <w:p>
      <w:pPr>
        <w:spacing w:after="40"/>
        <w:ind w:left="283"/>
      </w:pPr>
      <w:r>
        <w:rPr>
          <w:b w:val="0"/>
          <w:i w:val="0"/>
          <w:sz w:val="21"/>
        </w:rPr>
        <w:t>5. Procedimiento de recolección de datos</w:t>
      </w:r>
    </w:p>
    <w:p>
      <w:pPr>
        <w:spacing w:after="40"/>
        <w:ind w:left="283"/>
      </w:pPr>
      <w:r>
        <w:rPr>
          <w:b w:val="0"/>
          <w:i w:val="0"/>
          <w:sz w:val="21"/>
        </w:rPr>
        <w:t>6. Procedimiento de preparación de datos</w:t>
      </w:r>
    </w:p>
    <w:p>
      <w:pPr>
        <w:spacing w:after="40"/>
        <w:ind w:left="283"/>
      </w:pPr>
      <w:r>
        <w:rPr>
          <w:b w:val="0"/>
          <w:i w:val="0"/>
          <w:sz w:val="21"/>
        </w:rPr>
        <w:t>7. Procedimiento de análisis por objetivo</w:t>
      </w:r>
    </w:p>
    <w:p>
      <w:pPr>
        <w:spacing w:after="40"/>
        <w:ind w:left="283"/>
      </w:pPr>
      <w:r>
        <w:rPr>
          <w:b w:val="0"/>
          <w:i w:val="0"/>
          <w:sz w:val="21"/>
        </w:rPr>
        <w:t>8. Selección de modelos y fundamento teórico</w:t>
      </w:r>
    </w:p>
    <w:p>
      <w:pPr>
        <w:spacing w:after="40"/>
        <w:ind w:left="283"/>
      </w:pPr>
      <w:r>
        <w:rPr>
          <w:b w:val="0"/>
          <w:i w:val="0"/>
          <w:sz w:val="21"/>
        </w:rPr>
        <w:t>9. Procedimiento de evaluación</w:t>
      </w:r>
    </w:p>
    <w:p>
      <w:pPr>
        <w:spacing w:after="40"/>
        <w:ind w:left="283"/>
      </w:pPr>
      <w:r>
        <w:rPr>
          <w:b w:val="0"/>
          <w:i w:val="0"/>
          <w:sz w:val="21"/>
        </w:rPr>
        <w:t>10. Extensión territorial prevista</w:t>
      </w:r>
    </w:p>
    <w:p>
      <w:pPr>
        <w:spacing w:after="40"/>
        <w:ind w:left="283"/>
      </w:pPr>
      <w:r>
        <w:rPr>
          <w:b w:val="0"/>
          <w:i w:val="0"/>
          <w:sz w:val="21"/>
        </w:rPr>
        <w:t>11. Gestión del proyecto</w:t>
      </w:r>
    </w:p>
    <w:p>
      <w:pPr>
        <w:spacing w:after="40"/>
        <w:ind w:left="283"/>
      </w:pPr>
      <w:r>
        <w:rPr>
          <w:b w:val="0"/>
          <w:i w:val="0"/>
          <w:sz w:val="21"/>
        </w:rPr>
        <w:t>12. Implementación y despliegue previstos</w:t>
      </w:r>
    </w:p>
    <w:p>
      <w:pPr>
        <w:spacing w:after="40"/>
        <w:ind w:left="283"/>
      </w:pPr>
      <w:r>
        <w:rPr>
          <w:b w:val="0"/>
          <w:i w:val="0"/>
          <w:sz w:val="21"/>
        </w:rPr>
        <w:t>13. Riesgos, consideraciones éticas y limitaciones anticipadas</w:t>
      </w:r>
    </w:p>
    <w:p>
      <w:pPr>
        <w:spacing w:after="40"/>
        <w:ind w:left="283"/>
      </w:pPr>
      <w:r>
        <w:rPr>
          <w:b w:val="0"/>
          <w:i w:val="0"/>
          <w:sz w:val="21"/>
        </w:rPr>
        <w:t>14. Cronograma del proyecto</w:t>
      </w:r>
    </w:p>
    <w:p>
      <w:pPr>
        <w:spacing w:after="40"/>
        <w:ind w:left="283"/>
      </w:pPr>
      <w:r>
        <w:rPr>
          <w:b w:val="0"/>
          <w:i w:val="0"/>
          <w:sz w:val="21"/>
        </w:rPr>
        <w:t>15. Síntesis del enfoque metodológico</w:t>
      </w:r>
    </w:p>
    <w:p>
      <w:pPr>
        <w:spacing w:after="40"/>
        <w:ind w:left="283"/>
      </w:pPr>
      <w:r>
        <w:rPr>
          <w:b w:val="0"/>
          <w:i w:val="0"/>
          <w:sz w:val="21"/>
        </w:rPr>
        <w:t>16. Sugerencias para continuar el análisis en el futuro</w:t>
      </w:r>
    </w:p>
    <w:p>
      <w:pPr>
        <w:spacing w:after="40"/>
        <w:ind w:left="283"/>
      </w:pPr>
      <w:r>
        <w:rPr>
          <w:b w:val="0"/>
          <w:i w:val="0"/>
          <w:sz w:val="21"/>
        </w:rPr>
        <w:t>17. Bibliografía y fuentes previstas</w:t>
      </w:r>
    </w:p>
    <w:p>
      <w:r>
        <w:br w:type="page"/>
      </w:r>
    </w:p>
    <w:p>
      <w:pPr>
        <w:pStyle w:val="Heading1"/>
        <w:pBdr>
          <w:bottom w:val="single" w:sz="6" w:space="6" w:color="B9C7D6"/>
        </w:pBdr>
      </w:pPr>
      <w:r>
        <w:t>1. Introducción y fundamento</w:t>
      </w:r>
    </w:p>
    <w:p>
      <w:pPr>
        <w:pStyle w:val="Heading2"/>
      </w:pPr>
      <w:r>
        <w:t>1.1 El problema en su contexto</w:t>
      </w:r>
    </w:p>
    <w:p>
      <w:r>
        <w:rPr>
          <w:b w:val="0"/>
          <w:i w:val="0"/>
        </w:rPr>
        <w:t>El cambio climático es uno de los desafíos ambientales centrales de la actualidad y se manifiesta a través de indicadores que pueden medirse: el aumento de la temperatura media, la modificación del régimen de precipitaciones y el crecimiento de las emisiones de gases de efecto invernadero. Argentina, como país en vías de desarrollo, con una matriz productiva que combina agroindustria, energía e industria, enfrenta la necesidad de crecer en el marco de los compromisos internacionales del Acuerdo de París.</w:t>
      </w:r>
    </w:p>
    <w:p>
      <w:r>
        <w:rPr>
          <w:b w:val="0"/>
          <w:i w:val="0"/>
        </w:rPr>
        <w:t>Al mismo tiempo, en el debate público se sostiene con frecuencia que el crecimiento económico y el cambio climático están unidos, y que uno provoca al otro. Esa afirmación, formulada en términos generales, no es una afirmación verificable. Este proyecto se propone precisamente para ponerla a prueba con datos: no para confirmar ni para refutar de entrada la tesis, sino para determinar qué se puede sostener empíricamente y con qué grado de confianza.</w:t>
      </w:r>
    </w:p>
    <w:p>
      <w:pPr>
        <w:pStyle w:val="Heading2"/>
      </w:pPr>
      <w:r>
        <w:t>1.2 Elección del proyecto y alternativas evaluadas</w:t>
      </w:r>
    </w:p>
    <w:p>
      <w:r>
        <w:rPr>
          <w:b w:val="0"/>
          <w:i w:val="0"/>
        </w:rPr>
        <w:t>Entre las alternativas de tema consideradas por el equipo se evaluaron, entre otras: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2286"/>
            <w:shd w:val="clear" w:color="auto" w:fill="1E3A5F"/>
            <w:vAlign w:val="center"/>
          </w:tcPr>
          <w:p>
            <w:pPr>
              <w:spacing w:before="40" w:after="40"/>
            </w:pPr>
            <w:r>
              <w:rPr>
                <w:b/>
                <w:i w:val="0"/>
                <w:color w:val="FFFFFF"/>
                <w:sz w:val="19"/>
              </w:rPr>
              <w:t>Alternativa</w:t>
            </w:r>
          </w:p>
        </w:tc>
        <w:tc>
          <w:tcPr>
            <w:tcW w:type="dxa" w:w="2667"/>
            <w:shd w:val="clear" w:color="auto" w:fill="1E3A5F"/>
            <w:vAlign w:val="center"/>
          </w:tcPr>
          <w:p>
            <w:pPr>
              <w:spacing w:before="40" w:after="40"/>
            </w:pPr>
            <w:r>
              <w:rPr>
                <w:b/>
                <w:i w:val="0"/>
                <w:color w:val="FFFFFF"/>
                <w:sz w:val="19"/>
              </w:rPr>
              <w:t>Ventaja</w:t>
            </w:r>
          </w:p>
        </w:tc>
        <w:tc>
          <w:tcPr>
            <w:tcW w:type="dxa" w:w="2857"/>
            <w:shd w:val="clear" w:color="auto" w:fill="1E3A5F"/>
            <w:vAlign w:val="center"/>
          </w:tcPr>
          <w:p>
            <w:pPr>
              <w:spacing w:before="40" w:after="40"/>
            </w:pPr>
            <w:r>
              <w:rPr>
                <w:b/>
                <w:i w:val="0"/>
                <w:color w:val="FFFFFF"/>
                <w:sz w:val="19"/>
              </w:rPr>
              <w:t>Obstáculo detectado</w:t>
            </w:r>
          </w:p>
        </w:tc>
        <w:tc>
          <w:tcPr>
            <w:tcW w:type="dxa" w:w="1714"/>
            <w:shd w:val="clear" w:color="auto" w:fill="1E3A5F"/>
            <w:vAlign w:val="center"/>
          </w:tcPr>
          <w:p>
            <w:pPr>
              <w:spacing w:before="40" w:after="40"/>
            </w:pPr>
            <w:r>
              <w:rPr>
                <w:b/>
                <w:i w:val="0"/>
                <w:color w:val="FFFFFF"/>
                <w:sz w:val="19"/>
              </w:rPr>
              <w:t>Decisión</w:t>
            </w:r>
          </w:p>
        </w:tc>
      </w:tr>
      <w:tr>
        <w:trPr>
          <w:cantSplit w:val="true"/>
        </w:trPr>
        <w:tc>
          <w:tcPr>
            <w:tcW w:type="dxa" w:w="2286"/>
            <w:vAlign w:val="top"/>
          </w:tcPr>
          <w:p>
            <w:pPr>
              <w:spacing w:before="20" w:after="20" w:line="252" w:lineRule="auto"/>
            </w:pPr>
            <w:r>
              <w:rPr>
                <w:b w:val="0"/>
                <w:i w:val="0"/>
                <w:sz w:val="19"/>
              </w:rPr>
              <w:t>Análisis de resultados de las Pruebas Aprender</w:t>
            </w:r>
          </w:p>
        </w:tc>
        <w:tc>
          <w:tcPr>
            <w:tcW w:type="dxa" w:w="2667"/>
            <w:vAlign w:val="top"/>
          </w:tcPr>
          <w:p>
            <w:pPr>
              <w:spacing w:before="20" w:after="20" w:line="252" w:lineRule="auto"/>
            </w:pPr>
            <w:r>
              <w:rPr>
                <w:b w:val="0"/>
                <w:i w:val="0"/>
                <w:sz w:val="19"/>
              </w:rPr>
              <w:t>Datos propios de la institución, de acceso directo</w:t>
            </w:r>
          </w:p>
        </w:tc>
        <w:tc>
          <w:tcPr>
            <w:tcW w:type="dxa" w:w="2857"/>
            <w:vAlign w:val="top"/>
          </w:tcPr>
          <w:p>
            <w:pPr>
              <w:spacing w:before="20" w:after="20" w:line="252" w:lineRule="auto"/>
            </w:pPr>
            <w:r>
              <w:rPr>
                <w:b w:val="0"/>
                <w:i w:val="0"/>
                <w:sz w:val="19"/>
              </w:rPr>
              <w:t>Requiere microdatos individuales que la institucion no publica</w:t>
            </w:r>
          </w:p>
        </w:tc>
        <w:tc>
          <w:tcPr>
            <w:tcW w:type="dxa" w:w="1714"/>
            <w:vAlign w:val="top"/>
          </w:tcPr>
          <w:p>
            <w:pPr>
              <w:spacing w:before="20" w:after="20" w:line="252" w:lineRule="auto"/>
            </w:pPr>
            <w:r>
              <w:rPr>
                <w:b w:val="0"/>
                <w:i w:val="0"/>
                <w:sz w:val="19"/>
              </w:rPr>
              <w:t>Descartada</w:t>
            </w:r>
          </w:p>
        </w:tc>
      </w:tr>
      <w:tr>
        <w:trPr>
          <w:cantSplit w:val="true"/>
        </w:trPr>
        <w:tc>
          <w:tcPr>
            <w:tcW w:type="dxa" w:w="2286"/>
            <w:shd w:val="clear" w:color="auto" w:fill="F6F9FC"/>
            <w:vAlign w:val="top"/>
          </w:tcPr>
          <w:p>
            <w:pPr>
              <w:spacing w:before="20" w:after="20" w:line="252" w:lineRule="auto"/>
            </w:pPr>
            <w:r>
              <w:rPr>
                <w:b w:val="0"/>
                <w:i w:val="0"/>
                <w:sz w:val="19"/>
              </w:rPr>
              <w:t>Auditoría de precios de laptops según especificaciones</w:t>
            </w:r>
          </w:p>
        </w:tc>
        <w:tc>
          <w:tcPr>
            <w:tcW w:type="dxa" w:w="2667"/>
            <w:shd w:val="clear" w:color="auto" w:fill="F6F9FC"/>
            <w:vAlign w:val="top"/>
          </w:tcPr>
          <w:p>
            <w:pPr>
              <w:spacing w:before="20" w:after="20" w:line="252" w:lineRule="auto"/>
            </w:pPr>
            <w:r>
              <w:rPr>
                <w:b w:val="0"/>
                <w:i w:val="0"/>
                <w:sz w:val="19"/>
              </w:rPr>
              <w:t>Problema de interés cotidiano y con datos de catálogo</w:t>
            </w:r>
          </w:p>
        </w:tc>
        <w:tc>
          <w:tcPr>
            <w:tcW w:type="dxa" w:w="2857"/>
            <w:shd w:val="clear" w:color="auto" w:fill="F6F9FC"/>
            <w:vAlign w:val="top"/>
          </w:tcPr>
          <w:p>
            <w:pPr>
              <w:spacing w:before="20" w:after="20" w:line="252" w:lineRule="auto"/>
            </w:pPr>
            <w:r>
              <w:rPr>
                <w:b w:val="0"/>
                <w:i w:val="0"/>
                <w:sz w:val="19"/>
              </w:rPr>
              <w:t>No series temporales; no permite aplicar las técnicas de series que pide la cursada</w:t>
            </w:r>
          </w:p>
        </w:tc>
        <w:tc>
          <w:tcPr>
            <w:tcW w:type="dxa" w:w="1714"/>
            <w:shd w:val="clear" w:color="auto" w:fill="F6F9FC"/>
            <w:vAlign w:val="top"/>
          </w:tcPr>
          <w:p>
            <w:pPr>
              <w:spacing w:before="20" w:after="20" w:line="252" w:lineRule="auto"/>
            </w:pPr>
            <w:r>
              <w:rPr>
                <w:b w:val="0"/>
                <w:i w:val="0"/>
                <w:sz w:val="19"/>
              </w:rPr>
              <w:t>Descartada</w:t>
            </w:r>
          </w:p>
        </w:tc>
      </w:tr>
      <w:tr>
        <w:trPr>
          <w:cantSplit w:val="true"/>
        </w:trPr>
        <w:tc>
          <w:tcPr>
            <w:tcW w:type="dxa" w:w="2286"/>
            <w:vAlign w:val="top"/>
          </w:tcPr>
          <w:p>
            <w:pPr>
              <w:spacing w:before="20" w:after="20" w:line="252" w:lineRule="auto"/>
            </w:pPr>
            <w:r>
              <w:rPr>
                <w:b w:val="0"/>
                <w:i w:val="0"/>
                <w:sz w:val="19"/>
              </w:rPr>
              <w:t>Detección de fraude en transacciones financieras</w:t>
            </w:r>
          </w:p>
        </w:tc>
        <w:tc>
          <w:tcPr>
            <w:tcW w:type="dxa" w:w="2667"/>
            <w:vAlign w:val="top"/>
          </w:tcPr>
          <w:p>
            <w:pPr>
              <w:spacing w:before="20" w:after="20" w:line="252" w:lineRule="auto"/>
            </w:pPr>
            <w:r>
              <w:rPr>
                <w:b w:val="0"/>
                <w:i w:val="0"/>
                <w:sz w:val="19"/>
              </w:rPr>
              <w:t>Problema de alto impacto aplicado</w:t>
            </w:r>
          </w:p>
        </w:tc>
        <w:tc>
          <w:tcPr>
            <w:tcW w:type="dxa" w:w="2857"/>
            <w:vAlign w:val="top"/>
          </w:tcPr>
          <w:p>
            <w:pPr>
              <w:spacing w:before="20" w:after="20" w:line="252" w:lineRule="auto"/>
            </w:pPr>
            <w:r>
              <w:rPr>
                <w:b w:val="0"/>
                <w:i w:val="0"/>
                <w:sz w:val="19"/>
              </w:rPr>
              <w:t>Requiere información sensible y de acceso restringido</w:t>
            </w:r>
          </w:p>
        </w:tc>
        <w:tc>
          <w:tcPr>
            <w:tcW w:type="dxa" w:w="1714"/>
            <w:vAlign w:val="top"/>
          </w:tcPr>
          <w:p>
            <w:pPr>
              <w:spacing w:before="20" w:after="20" w:line="252" w:lineRule="auto"/>
            </w:pPr>
            <w:r>
              <w:rPr>
                <w:b w:val="0"/>
                <w:i w:val="0"/>
                <w:sz w:val="19"/>
              </w:rPr>
              <w:t>Descartada</w:t>
            </w:r>
          </w:p>
        </w:tc>
      </w:tr>
      <w:tr>
        <w:trPr>
          <w:cantSplit w:val="true"/>
        </w:trPr>
        <w:tc>
          <w:tcPr>
            <w:tcW w:type="dxa" w:w="2286"/>
            <w:shd w:val="clear" w:color="auto" w:fill="F6F9FC"/>
            <w:vAlign w:val="top"/>
          </w:tcPr>
          <w:p>
            <w:pPr>
              <w:spacing w:before="20" w:after="20" w:line="252" w:lineRule="auto"/>
            </w:pPr>
            <w:r>
              <w:rPr>
                <w:b w:val="0"/>
                <w:i w:val="0"/>
                <w:sz w:val="19"/>
              </w:rPr>
              <w:t>Cambio climático y crecimiento económico en Argentina</w:t>
            </w:r>
          </w:p>
        </w:tc>
        <w:tc>
          <w:tcPr>
            <w:tcW w:type="dxa" w:w="2667"/>
            <w:shd w:val="clear" w:color="auto" w:fill="F6F9FC"/>
            <w:vAlign w:val="top"/>
          </w:tcPr>
          <w:p>
            <w:pPr>
              <w:spacing w:before="20" w:after="20" w:line="252" w:lineRule="auto"/>
            </w:pPr>
            <w:r>
              <w:rPr>
                <w:b w:val="0"/>
                <w:i w:val="0"/>
                <w:sz w:val="19"/>
              </w:rPr>
              <w:t>Series históricas largas, públicas y de organismos oficiales; relevance social alta; admite las seis técnicas que la cursada exige practicar</w:t>
            </w:r>
          </w:p>
        </w:tc>
        <w:tc>
          <w:tcPr>
            <w:tcW w:type="dxa" w:w="2857"/>
            <w:shd w:val="clear" w:color="auto" w:fill="F6F9FC"/>
            <w:vAlign w:val="top"/>
          </w:tcPr>
          <w:p>
            <w:pPr>
              <w:spacing w:before="20" w:after="20" w:line="252" w:lineRule="auto"/>
            </w:pPr>
            <w:r>
              <w:rPr>
                <w:b w:val="0"/>
                <w:i w:val="0"/>
                <w:sz w:val="19"/>
              </w:rPr>
              <w:t>Exige un control riguroso de tendencias para no llegar a conclusiones espurias</w:t>
            </w:r>
          </w:p>
        </w:tc>
        <w:tc>
          <w:tcPr>
            <w:tcW w:type="dxa" w:w="1714"/>
            <w:shd w:val="clear" w:color="auto" w:fill="F6F9FC"/>
            <w:vAlign w:val="top"/>
          </w:tcPr>
          <w:p>
            <w:pPr>
              <w:spacing w:before="20" w:after="20" w:line="252" w:lineRule="auto"/>
            </w:pPr>
            <w:r>
              <w:rPr>
                <w:b w:val="0"/>
                <w:i w:val="0"/>
                <w:sz w:val="19"/>
              </w:rPr>
              <w:t>ELEGIDA</w:t>
            </w:r>
          </w:p>
        </w:tc>
      </w:tr>
    </w:tbl>
    <w:p>
      <w:pPr>
        <w:spacing w:after="80"/>
      </w:pPr>
    </w:p>
    <w:p>
      <w:pPr>
        <w:spacing w:before="60" w:after="160"/>
      </w:pPr>
      <w:r>
        <w:rPr>
          <w:b w:val="0"/>
          <w:i/>
          <w:color w:val="505A64"/>
          <w:sz w:val="19"/>
        </w:rPr>
        <w:t>El obstáculo de la alternativa elegida no la descalifica: por el contrario, se convierte en el eje del trabajo. Detectar y controlar la correlación espuria es precisamente uno de los aprendizajes centrales de un curso de análisis de datos.</w:t>
      </w:r>
    </w:p>
    <w:p>
      <w:pPr>
        <w:pStyle w:val="Heading2"/>
      </w:pPr>
      <w:r>
        <w:t>1.3 Justificación y relevancia</w:t>
      </w:r>
    </w:p>
    <w:p>
      <w:pPr>
        <w:pStyle w:val="ListBullet"/>
        <w:spacing w:after="40"/>
        <w:ind w:left="397"/>
      </w:pPr>
      <w:r>
        <w:rPr>
          <w:b/>
          <w:i w:val="0"/>
        </w:rPr>
        <w:t>Relevancia científica:</w:t>
      </w:r>
      <w:r>
        <w:rPr>
          <w:b w:val="0"/>
          <w:i w:val="0"/>
        </w:rPr>
        <w:t xml:space="preserve"> aporta evidencia sobre si, con datos argentinos de seis décadas, la relación entre economía y clima es real, aparente o inexistente.</w:t>
      </w:r>
    </w:p>
    <w:p>
      <w:pPr>
        <w:pStyle w:val="ListBullet"/>
        <w:spacing w:after="40"/>
        <w:ind w:left="397"/>
      </w:pPr>
      <w:r>
        <w:rPr>
          <w:b/>
          <w:i w:val="0"/>
        </w:rPr>
        <w:t>Relevancia social:</w:t>
      </w:r>
      <w:r>
        <w:rPr>
          <w:b w:val="0"/>
          <w:i w:val="0"/>
        </w:rPr>
        <w:t xml:space="preserve"> permite afirmar con fundamento si la recuperación de la economía argentina y el calentamiento global son o no el mismo fenómeno.</w:t>
      </w:r>
    </w:p>
    <w:p>
      <w:pPr>
        <w:pStyle w:val="ListBullet"/>
        <w:spacing w:after="40"/>
        <w:ind w:left="397"/>
      </w:pPr>
      <w:r>
        <w:rPr>
          <w:b/>
          <w:i w:val="0"/>
        </w:rPr>
        <w:t>Relevancia didáctica:</w:t>
      </w:r>
      <w:r>
        <w:rPr>
          <w:b w:val="0"/>
          <w:i w:val="0"/>
        </w:rPr>
        <w:t xml:space="preserve"> el caso es ideal para practicar las técnicas de la cursada y, al mismo tiempo, para enseñar que un resultado intuitivamente plausible necesita verificación.</w:t>
      </w:r>
    </w:p>
    <w:p>
      <w:pPr>
        <w:pStyle w:val="ListBullet"/>
        <w:spacing w:after="40"/>
        <w:ind w:left="397"/>
      </w:pPr>
      <w:r>
        <w:rPr>
          <w:b/>
          <w:i w:val="0"/>
        </w:rPr>
        <w:t>Relevancia institucional:</w:t>
      </w:r>
      <w:r>
        <w:rPr>
          <w:b w:val="0"/>
          <w:i w:val="0"/>
        </w:rPr>
        <w:t xml:space="preserve"> deja un dataset documentado y código reproducible que pueden reutilizar las cátedras futuras.</w:t>
      </w:r>
    </w:p>
    <w:p>
      <w:pPr>
        <w:pStyle w:val="Heading2"/>
      </w:pPr>
      <w:r>
        <w:t>1.4 Destinatarios</w:t>
      </w:r>
    </w:p>
    <w:p>
      <w:pPr>
        <w:pStyle w:val="ListBullet"/>
        <w:spacing w:after="40"/>
        <w:ind w:left="397"/>
      </w:pPr>
      <w:r>
        <w:rPr>
          <w:b w:val="0"/>
          <w:i w:val="0"/>
        </w:rPr>
        <w:t>Docentes y estudiantes de la Tecnicatura, como material de apoyo para cursadas posteriores.</w:t>
      </w:r>
    </w:p>
    <w:p>
      <w:pPr>
        <w:pStyle w:val="ListBullet"/>
        <w:spacing w:after="40"/>
        <w:ind w:left="397"/>
      </w:pPr>
      <w:r>
        <w:rPr>
          <w:b w:val="0"/>
          <w:i w:val="0"/>
        </w:rPr>
        <w:t>Interesados en política ambiental y energética, como documento de acceso.</w:t>
      </w:r>
    </w:p>
    <w:p>
      <w:pPr>
        <w:pStyle w:val="ListBullet"/>
        <w:spacing w:after="40"/>
        <w:ind w:left="397"/>
      </w:pPr>
      <w:r>
        <w:rPr>
          <w:b w:val="0"/>
          <w:i w:val="0"/>
        </w:rPr>
        <w:t>El propio equipo, como registro del proceso de aprendizaje.</w:t>
      </w:r>
    </w:p>
    <w:p>
      <w:pPr>
        <w:pStyle w:val="Heading2"/>
      </w:pPr>
      <w:r>
        <w:t>1.5 Delimitación del análisis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1333"/>
            <w:shd w:val="clear" w:color="auto" w:fill="1E3A5F"/>
            <w:vAlign w:val="center"/>
          </w:tcPr>
          <w:p>
            <w:pPr>
              <w:spacing w:before="40" w:after="40"/>
            </w:pPr>
            <w:r>
              <w:rPr>
                <w:b/>
                <w:i w:val="0"/>
                <w:color w:val="FFFFFF"/>
                <w:sz w:val="19"/>
              </w:rPr>
              <w:t>Dimensión</w:t>
            </w:r>
          </w:p>
        </w:tc>
        <w:tc>
          <w:tcPr>
            <w:tcW w:type="dxa" w:w="4000"/>
            <w:shd w:val="clear" w:color="auto" w:fill="1E3A5F"/>
            <w:vAlign w:val="center"/>
          </w:tcPr>
          <w:p>
            <w:pPr>
              <w:spacing w:before="40" w:after="40"/>
            </w:pPr>
            <w:r>
              <w:rPr>
                <w:b/>
                <w:i w:val="0"/>
                <w:color w:val="FFFFFF"/>
                <w:sz w:val="19"/>
              </w:rPr>
              <w:t>Delimitación</w:t>
            </w:r>
          </w:p>
        </w:tc>
        <w:tc>
          <w:tcPr>
            <w:tcW w:type="dxa" w:w="4191"/>
            <w:shd w:val="clear" w:color="auto" w:fill="1E3A5F"/>
            <w:vAlign w:val="center"/>
          </w:tcPr>
          <w:p>
            <w:pPr>
              <w:spacing w:before="40" w:after="40"/>
            </w:pPr>
            <w:r>
              <w:rPr>
                <w:b/>
                <w:i w:val="0"/>
                <w:color w:val="FFFFFF"/>
                <w:sz w:val="19"/>
              </w:rPr>
              <w:t>Motivo</w:t>
            </w:r>
          </w:p>
        </w:tc>
      </w:tr>
      <w:tr>
        <w:trPr>
          <w:cantSplit w:val="true"/>
        </w:trPr>
        <w:tc>
          <w:tcPr>
            <w:tcW w:type="dxa" w:w="1333"/>
            <w:vAlign w:val="top"/>
          </w:tcPr>
          <w:p>
            <w:pPr>
              <w:spacing w:before="20" w:after="20" w:line="252" w:lineRule="auto"/>
            </w:pPr>
            <w:r>
              <w:rPr>
                <w:b w:val="0"/>
                <w:i w:val="0"/>
                <w:sz w:val="19"/>
              </w:rPr>
              <w:t>Temporal</w:t>
            </w:r>
          </w:p>
        </w:tc>
        <w:tc>
          <w:tcPr>
            <w:tcW w:type="dxa" w:w="4000"/>
            <w:vAlign w:val="top"/>
          </w:tcPr>
          <w:p>
            <w:pPr>
              <w:spacing w:before="20" w:after="20" w:line="252" w:lineRule="auto"/>
            </w:pPr>
            <w:r>
              <w:rPr>
                <w:b w:val="0"/>
                <w:i w:val="0"/>
                <w:sz w:val="19"/>
              </w:rPr>
              <w:t>1961 a 2024, con 64 observaciones anuales</w:t>
            </w:r>
          </w:p>
        </w:tc>
        <w:tc>
          <w:tcPr>
            <w:tcW w:type="dxa" w:w="4191"/>
            <w:vAlign w:val="top"/>
          </w:tcPr>
          <w:p>
            <w:pPr>
              <w:spacing w:before="20" w:after="20" w:line="252" w:lineRule="auto"/>
            </w:pPr>
            <w:r>
              <w:rPr>
                <w:b w:val="0"/>
                <w:i w:val="0"/>
                <w:sz w:val="19"/>
              </w:rPr>
              <w:t>Es el rango común de cobertura de las series nacionales elegidas</w:t>
            </w:r>
          </w:p>
        </w:tc>
      </w:tr>
      <w:tr>
        <w:trPr>
          <w:cantSplit w:val="true"/>
        </w:trPr>
        <w:tc>
          <w:tcPr>
            <w:tcW w:type="dxa" w:w="1333"/>
            <w:shd w:val="clear" w:color="auto" w:fill="F6F9FC"/>
            <w:vAlign w:val="top"/>
          </w:tcPr>
          <w:p>
            <w:pPr>
              <w:spacing w:before="20" w:after="20" w:line="252" w:lineRule="auto"/>
            </w:pPr>
            <w:r>
              <w:rPr>
                <w:b w:val="0"/>
                <w:i w:val="0"/>
                <w:sz w:val="19"/>
              </w:rPr>
              <w:t>Espacial</w:t>
            </w:r>
          </w:p>
        </w:tc>
        <w:tc>
          <w:tcPr>
            <w:tcW w:type="dxa" w:w="4000"/>
            <w:shd w:val="clear" w:color="auto" w:fill="F6F9FC"/>
            <w:vAlign w:val="top"/>
          </w:tcPr>
          <w:p>
            <w:pPr>
              <w:spacing w:before="20" w:after="20" w:line="252" w:lineRule="auto"/>
            </w:pPr>
            <w:r>
              <w:rPr>
                <w:b w:val="0"/>
                <w:i w:val="0"/>
                <w:sz w:val="19"/>
              </w:rPr>
              <w:t>Territorio nacional; extensión descriptiva a las 24 jurisdicciones</w:t>
            </w:r>
          </w:p>
        </w:tc>
        <w:tc>
          <w:tcPr>
            <w:tcW w:type="dxa" w:w="4191"/>
            <w:shd w:val="clear" w:color="auto" w:fill="F6F9FC"/>
            <w:vAlign w:val="top"/>
          </w:tcPr>
          <w:p>
            <w:pPr>
              <w:spacing w:before="20" w:after="20" w:line="252" w:lineRule="auto"/>
            </w:pPr>
            <w:r>
              <w:rPr>
                <w:b w:val="0"/>
                <w:i w:val="0"/>
                <w:sz w:val="19"/>
              </w:rPr>
              <w:t>No existe una serie económica provincial homogénea que permitiera un análisis cruzado</w:t>
            </w:r>
          </w:p>
        </w:tc>
      </w:tr>
      <w:tr>
        <w:trPr>
          <w:cantSplit w:val="true"/>
        </w:trPr>
        <w:tc>
          <w:tcPr>
            <w:tcW w:type="dxa" w:w="1333"/>
            <w:vAlign w:val="top"/>
          </w:tcPr>
          <w:p>
            <w:pPr>
              <w:spacing w:before="20" w:after="20" w:line="252" w:lineRule="auto"/>
            </w:pPr>
            <w:r>
              <w:rPr>
                <w:b w:val="0"/>
                <w:i w:val="0"/>
                <w:sz w:val="19"/>
              </w:rPr>
              <w:t>Temática</w:t>
            </w:r>
          </w:p>
        </w:tc>
        <w:tc>
          <w:tcPr>
            <w:tcW w:type="dxa" w:w="4000"/>
            <w:vAlign w:val="top"/>
          </w:tcPr>
          <w:p>
            <w:pPr>
              <w:spacing w:before="20" w:after="20" w:line="252" w:lineRule="auto"/>
            </w:pPr>
            <w:r>
              <w:rPr>
                <w:b w:val="0"/>
                <w:i w:val="0"/>
                <w:sz w:val="19"/>
              </w:rPr>
              <w:t>Temperatura, precipitación, emisiones de GEI y crecimiento del PBI</w:t>
            </w:r>
          </w:p>
        </w:tc>
        <w:tc>
          <w:tcPr>
            <w:tcW w:type="dxa" w:w="4191"/>
            <w:vAlign w:val="top"/>
          </w:tcPr>
          <w:p>
            <w:pPr>
              <w:spacing w:before="20" w:after="20" w:line="252" w:lineRule="auto"/>
            </w:pPr>
            <w:r>
              <w:rPr>
                <w:b w:val="0"/>
                <w:i w:val="0"/>
                <w:sz w:val="19"/>
              </w:rPr>
              <w:t>Son las variables que los objetivos del proyecto exigen</w:t>
            </w:r>
          </w:p>
        </w:tc>
      </w:tr>
      <w:tr>
        <w:trPr>
          <w:cantSplit w:val="true"/>
        </w:trPr>
        <w:tc>
          <w:tcPr>
            <w:tcW w:type="dxa" w:w="1333"/>
            <w:shd w:val="clear" w:color="auto" w:fill="F6F9FC"/>
            <w:vAlign w:val="top"/>
          </w:tcPr>
          <w:p>
            <w:pPr>
              <w:spacing w:before="20" w:after="20" w:line="252" w:lineRule="auto"/>
            </w:pPr>
            <w:r>
              <w:rPr>
                <w:b w:val="0"/>
                <w:i w:val="0"/>
                <w:sz w:val="19"/>
              </w:rPr>
              <w:t>Causalidad</w:t>
            </w:r>
          </w:p>
        </w:tc>
        <w:tc>
          <w:tcPr>
            <w:tcW w:type="dxa" w:w="4000"/>
            <w:shd w:val="clear" w:color="auto" w:fill="F6F9FC"/>
            <w:vAlign w:val="top"/>
          </w:tcPr>
          <w:p>
            <w:pPr>
              <w:spacing w:before="20" w:after="20" w:line="252" w:lineRule="auto"/>
            </w:pPr>
            <w:r>
              <w:rPr>
                <w:b w:val="0"/>
                <w:i w:val="0"/>
                <w:sz w:val="19"/>
              </w:rPr>
              <w:t>Fuera de alcance</w:t>
            </w:r>
          </w:p>
        </w:tc>
        <w:tc>
          <w:tcPr>
            <w:tcW w:type="dxa" w:w="4191"/>
            <w:shd w:val="clear" w:color="auto" w:fill="F6F9FC"/>
            <w:vAlign w:val="top"/>
          </w:tcPr>
          <w:p>
            <w:pPr>
              <w:spacing w:before="20" w:after="20" w:line="252" w:lineRule="auto"/>
            </w:pPr>
            <w:r>
              <w:rPr>
                <w:b w:val="0"/>
                <w:i w:val="0"/>
                <w:sz w:val="19"/>
              </w:rPr>
              <w:t>Sin datos experimentales ni instrumentos de identificación causal no puede establecerse causalidad</w:t>
            </w:r>
          </w:p>
        </w:tc>
      </w:tr>
    </w:tbl>
    <w:p>
      <w:pPr>
        <w:spacing w:after="80"/>
      </w:pPr>
    </w:p>
    <w:p>
      <w:pPr>
        <w:pStyle w:val="Heading1"/>
        <w:pBdr>
          <w:bottom w:val="single" w:sz="6" w:space="6" w:color="B9C7D6"/>
        </w:pBdr>
      </w:pPr>
      <w:r>
        <w:t>2. Objetivos del proyecto</w:t>
      </w:r>
    </w:p>
    <w:p>
      <w:pPr>
        <w:pStyle w:val="Heading2"/>
      </w:pPr>
      <w:r>
        <w:t>2.1 Objetivo general</w:t>
      </w:r>
    </w:p>
    <w:tbl>
      <w:tblPr>
        <w:tblW w:type="auto" w:w="0"/>
        <w:jc w:val="center"/>
        <w:tblLayout w:type="fixed"/>
        <w:tblLook w:firstColumn="1" w:firstRow="1" w:lastColumn="0" w:lastRow="0" w:noHBand="0" w:noVBand="1" w:val="04A0"/>
      </w:tblPr>
      <w:tblGrid>
        <w:gridCol w:w="9518"/>
      </w:tblGrid>
      <w:tr>
        <w:tc>
          <w:tcPr>
            <w:tcW w:type="dxa" w:w="9524"/>
            <w:tcBorders>
              <w:top w:val="single" w:sz="4" w:space="0" w:color="B9C7D6"/>
              <w:bottom w:val="single" w:sz="4" w:space="0" w:color="B9C7D6"/>
              <w:right w:val="single" w:sz="4" w:space="0" w:color="B9C7D6"/>
              <w:left w:val="single" w:sz="18" w:space="0" w:color="1E3A5F"/>
            </w:tcBorders>
            <w:shd w:val="clear" w:color="auto" w:fill="E8EEF5"/>
          </w:tcPr>
          <w:p>
            <w:pPr>
              <w:spacing w:before="40" w:after="40"/>
            </w:pPr>
            <w:r>
              <w:rPr>
                <w:b/>
                <w:i w:val="0"/>
                <w:color w:val="1E3A5F"/>
                <w:sz w:val="21"/>
              </w:rPr>
              <w:t>Objetivo general</w:t>
            </w:r>
          </w:p>
          <w:p>
            <w:pPr>
              <w:spacing w:after="80"/>
            </w:pPr>
            <w:r>
              <w:rPr>
                <w:b w:val="0"/>
                <w:i w:val="0"/>
                <w:sz w:val="20"/>
              </w:rPr>
              <w:t>Analizar la evolución histórica del cambio climático en Argentina entre 1961 y 2024 y su relación con el crecimiento económico, y evaluar si es posible predecir la evolución de la temperatura a partir de las variables económicas y climáticas disponibles, empleando la metodología CRISP-DM de principio a fin.</w:t>
            </w:r>
          </w:p>
        </w:tc>
      </w:tr>
    </w:tbl>
    <w:p>
      <w:pPr>
        <w:spacing w:after="80"/>
      </w:pPr>
    </w:p>
    <w:p>
      <w:pPr>
        <w:pStyle w:val="Heading2"/>
      </w:pPr>
      <w:r>
        <w:t>2.2 Objetivos de negocio</w:t>
      </w:r>
    </w:p>
    <w:p>
      <w:r>
        <w:rPr>
          <w:b w:val="0"/>
          <w:i w:val="0"/>
        </w:rPr>
        <w:t xml:space="preserve">Los objetivos de negocio responden al </w:t>
      </w:r>
      <w:r>
        <w:rPr>
          <w:b/>
          <w:i w:val="0"/>
        </w:rPr>
        <w:t>para qué</w:t>
      </w:r>
      <w:r>
        <w:rPr>
          <w:b w:val="0"/>
          <w:i w:val="0"/>
        </w:rPr>
        <w:t xml:space="preserve"> del proyecto: qué necesidad concreta satisface y para quién.</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571"/>
            <w:shd w:val="clear" w:color="auto" w:fill="1E3A5F"/>
            <w:vAlign w:val="center"/>
          </w:tcPr>
          <w:p>
            <w:pPr>
              <w:spacing w:before="40" w:after="40"/>
            </w:pPr>
            <w:r>
              <w:rPr>
                <w:b/>
                <w:i w:val="0"/>
                <w:color w:val="FFFFFF"/>
                <w:sz w:val="19"/>
              </w:rPr>
              <w:t>N.º</w:t>
            </w:r>
          </w:p>
        </w:tc>
        <w:tc>
          <w:tcPr>
            <w:tcW w:type="dxa" w:w="3810"/>
            <w:shd w:val="clear" w:color="auto" w:fill="1E3A5F"/>
            <w:vAlign w:val="center"/>
          </w:tcPr>
          <w:p>
            <w:pPr>
              <w:spacing w:before="40" w:after="40"/>
            </w:pPr>
            <w:r>
              <w:rPr>
                <w:b/>
                <w:i w:val="0"/>
                <w:color w:val="FFFFFF"/>
                <w:sz w:val="19"/>
              </w:rPr>
              <w:t>Objetivo de negocio</w:t>
            </w:r>
          </w:p>
        </w:tc>
        <w:tc>
          <w:tcPr>
            <w:tcW w:type="dxa" w:w="2095"/>
            <w:shd w:val="clear" w:color="auto" w:fill="1E3A5F"/>
            <w:vAlign w:val="center"/>
          </w:tcPr>
          <w:p>
            <w:pPr>
              <w:spacing w:before="40" w:after="40"/>
            </w:pPr>
            <w:r>
              <w:rPr>
                <w:b/>
                <w:i w:val="0"/>
                <w:color w:val="FFFFFF"/>
                <w:sz w:val="19"/>
              </w:rPr>
              <w:t>Destinatario</w:t>
            </w:r>
          </w:p>
        </w:tc>
        <w:tc>
          <w:tcPr>
            <w:tcW w:type="dxa" w:w="3048"/>
            <w:shd w:val="clear" w:color="auto" w:fill="1E3A5F"/>
            <w:vAlign w:val="center"/>
          </w:tcPr>
          <w:p>
            <w:pPr>
              <w:spacing w:before="40" w:after="40"/>
            </w:pPr>
            <w:r>
              <w:rPr>
                <w:b/>
                <w:i w:val="0"/>
                <w:color w:val="FFFFFF"/>
                <w:sz w:val="19"/>
              </w:rPr>
              <w:t>Criterio de logro previsto</w:t>
            </w:r>
          </w:p>
        </w:tc>
      </w:tr>
      <w:tr>
        <w:trPr>
          <w:cantSplit w:val="true"/>
        </w:trPr>
        <w:tc>
          <w:tcPr>
            <w:tcW w:type="dxa" w:w="571"/>
            <w:vAlign w:val="top"/>
          </w:tcPr>
          <w:p>
            <w:pPr>
              <w:spacing w:before="20" w:after="20" w:line="252" w:lineRule="auto"/>
            </w:pPr>
            <w:r>
              <w:rPr>
                <w:b w:val="0"/>
                <w:i w:val="0"/>
                <w:sz w:val="19"/>
              </w:rPr>
              <w:t>ON-1</w:t>
            </w:r>
          </w:p>
        </w:tc>
        <w:tc>
          <w:tcPr>
            <w:tcW w:type="dxa" w:w="3810"/>
            <w:vAlign w:val="top"/>
          </w:tcPr>
          <w:p>
            <w:pPr>
              <w:spacing w:before="20" w:after="20" w:line="252" w:lineRule="auto"/>
            </w:pPr>
            <w:r>
              <w:rPr>
                <w:b w:val="0"/>
                <w:i w:val="0"/>
                <w:sz w:val="19"/>
              </w:rPr>
              <w:t>Proveer una lectura cuantitativa y verificable de la evolución del clima en Argentina durante más de seis décadas.</w:t>
            </w:r>
          </w:p>
        </w:tc>
        <w:tc>
          <w:tcPr>
            <w:tcW w:type="dxa" w:w="2095"/>
            <w:vAlign w:val="top"/>
          </w:tcPr>
          <w:p>
            <w:pPr>
              <w:spacing w:before="20" w:after="20" w:line="252" w:lineRule="auto"/>
            </w:pPr>
            <w:r>
              <w:rPr>
                <w:b w:val="0"/>
                <w:i w:val="0"/>
                <w:sz w:val="19"/>
              </w:rPr>
              <w:t>Docentes y estudiantes</w:t>
            </w:r>
          </w:p>
        </w:tc>
        <w:tc>
          <w:tcPr>
            <w:tcW w:type="dxa" w:w="3048"/>
            <w:vAlign w:val="top"/>
          </w:tcPr>
          <w:p>
            <w:pPr>
              <w:spacing w:before="20" w:after="20" w:line="252" w:lineRule="auto"/>
            </w:pPr>
            <w:r>
              <w:rPr>
                <w:b w:val="0"/>
                <w:i w:val="0"/>
                <w:sz w:val="19"/>
              </w:rPr>
              <w:t>Informe con tendencias y significación de cada variable</w:t>
            </w:r>
          </w:p>
        </w:tc>
      </w:tr>
      <w:tr>
        <w:trPr>
          <w:cantSplit w:val="true"/>
        </w:trPr>
        <w:tc>
          <w:tcPr>
            <w:tcW w:type="dxa" w:w="571"/>
            <w:shd w:val="clear" w:color="auto" w:fill="F6F9FC"/>
            <w:vAlign w:val="top"/>
          </w:tcPr>
          <w:p>
            <w:pPr>
              <w:spacing w:before="20" w:after="20" w:line="252" w:lineRule="auto"/>
            </w:pPr>
            <w:r>
              <w:rPr>
                <w:b w:val="0"/>
                <w:i w:val="0"/>
                <w:sz w:val="19"/>
              </w:rPr>
              <w:t>ON-2</w:t>
            </w:r>
          </w:p>
        </w:tc>
        <w:tc>
          <w:tcPr>
            <w:tcW w:type="dxa" w:w="3810"/>
            <w:shd w:val="clear" w:color="auto" w:fill="F6F9FC"/>
            <w:vAlign w:val="top"/>
          </w:tcPr>
          <w:p>
            <w:pPr>
              <w:spacing w:before="20" w:after="20" w:line="252" w:lineRule="auto"/>
            </w:pPr>
            <w:r>
              <w:rPr>
                <w:b w:val="0"/>
                <w:i w:val="0"/>
                <w:sz w:val="19"/>
              </w:rPr>
              <w:t>Determinar si el crecimiento económico argentino puede vincularse con el cambio climático, y con qué grado de evidencia.</w:t>
            </w:r>
          </w:p>
        </w:tc>
        <w:tc>
          <w:tcPr>
            <w:tcW w:type="dxa" w:w="2095"/>
            <w:shd w:val="clear" w:color="auto" w:fill="F6F9FC"/>
            <w:vAlign w:val="top"/>
          </w:tcPr>
          <w:p>
            <w:pPr>
              <w:spacing w:before="20" w:after="20" w:line="252" w:lineRule="auto"/>
            </w:pPr>
            <w:r>
              <w:rPr>
                <w:b w:val="0"/>
                <w:i w:val="0"/>
                <w:sz w:val="19"/>
              </w:rPr>
              <w:t>Público general y política ambiental</w:t>
            </w:r>
          </w:p>
        </w:tc>
        <w:tc>
          <w:tcPr>
            <w:tcW w:type="dxa" w:w="3048"/>
            <w:shd w:val="clear" w:color="auto" w:fill="F6F9FC"/>
            <w:vAlign w:val="top"/>
          </w:tcPr>
          <w:p>
            <w:pPr>
              <w:spacing w:before="20" w:after="20" w:line="252" w:lineRule="auto"/>
            </w:pPr>
            <w:r>
              <w:rPr>
                <w:b w:val="0"/>
                <w:i w:val="0"/>
                <w:sz w:val="19"/>
              </w:rPr>
              <w:t>Informe que separe la asociación aparente de la covariación real</w:t>
            </w:r>
          </w:p>
        </w:tc>
      </w:tr>
      <w:tr>
        <w:trPr>
          <w:cantSplit w:val="true"/>
        </w:trPr>
        <w:tc>
          <w:tcPr>
            <w:tcW w:type="dxa" w:w="571"/>
            <w:vAlign w:val="top"/>
          </w:tcPr>
          <w:p>
            <w:pPr>
              <w:spacing w:before="20" w:after="20" w:line="252" w:lineRule="auto"/>
            </w:pPr>
            <w:r>
              <w:rPr>
                <w:b w:val="0"/>
                <w:i w:val="0"/>
                <w:sz w:val="19"/>
              </w:rPr>
              <w:t>ON-3</w:t>
            </w:r>
          </w:p>
        </w:tc>
        <w:tc>
          <w:tcPr>
            <w:tcW w:type="dxa" w:w="3810"/>
            <w:vAlign w:val="top"/>
          </w:tcPr>
          <w:p>
            <w:pPr>
              <w:spacing w:before="20" w:after="20" w:line="252" w:lineRule="auto"/>
            </w:pPr>
            <w:r>
              <w:rPr>
                <w:b w:val="0"/>
                <w:i w:val="0"/>
                <w:sz w:val="19"/>
              </w:rPr>
              <w:t>Entregar un recurso reutilizable: dataset limpio, código reproducible e interfaz de consulta.</w:t>
            </w:r>
          </w:p>
        </w:tc>
        <w:tc>
          <w:tcPr>
            <w:tcW w:type="dxa" w:w="2095"/>
            <w:vAlign w:val="top"/>
          </w:tcPr>
          <w:p>
            <w:pPr>
              <w:spacing w:before="20" w:after="20" w:line="252" w:lineRule="auto"/>
            </w:pPr>
            <w:r>
              <w:rPr>
                <w:b w:val="0"/>
                <w:i w:val="0"/>
                <w:sz w:val="19"/>
              </w:rPr>
              <w:t>Cátedra de la Tecnicatura</w:t>
            </w:r>
          </w:p>
        </w:tc>
        <w:tc>
          <w:tcPr>
            <w:tcW w:type="dxa" w:w="3048"/>
            <w:vAlign w:val="top"/>
          </w:tcPr>
          <w:p>
            <w:pPr>
              <w:spacing w:before="20" w:after="20" w:line="252" w:lineRule="auto"/>
            </w:pPr>
            <w:r>
              <w:rPr>
                <w:b w:val="0"/>
                <w:i w:val="0"/>
                <w:sz w:val="19"/>
              </w:rPr>
              <w:t>Repositorio completo con documentación de fuentes</w:t>
            </w:r>
          </w:p>
        </w:tc>
      </w:tr>
      <w:tr>
        <w:trPr>
          <w:cantSplit w:val="true"/>
        </w:trPr>
        <w:tc>
          <w:tcPr>
            <w:tcW w:type="dxa" w:w="571"/>
            <w:shd w:val="clear" w:color="auto" w:fill="F6F9FC"/>
            <w:vAlign w:val="top"/>
          </w:tcPr>
          <w:p>
            <w:pPr>
              <w:spacing w:before="20" w:after="20" w:line="252" w:lineRule="auto"/>
            </w:pPr>
            <w:r>
              <w:rPr>
                <w:b w:val="0"/>
                <w:i w:val="0"/>
                <w:sz w:val="19"/>
              </w:rPr>
              <w:t>ON-4</w:t>
            </w:r>
          </w:p>
        </w:tc>
        <w:tc>
          <w:tcPr>
            <w:tcW w:type="dxa" w:w="3810"/>
            <w:shd w:val="clear" w:color="auto" w:fill="F6F9FC"/>
            <w:vAlign w:val="top"/>
          </w:tcPr>
          <w:p>
            <w:pPr>
              <w:spacing w:before="20" w:after="20" w:line="252" w:lineRule="auto"/>
            </w:pPr>
            <w:r>
              <w:rPr>
                <w:b w:val="0"/>
                <w:i w:val="0"/>
                <w:sz w:val="19"/>
              </w:rPr>
              <w:t>Formar a los integrantes en la ejecución completa de un proyecto de minería de datos.</w:t>
            </w:r>
          </w:p>
        </w:tc>
        <w:tc>
          <w:tcPr>
            <w:tcW w:type="dxa" w:w="2095"/>
            <w:shd w:val="clear" w:color="auto" w:fill="F6F9FC"/>
            <w:vAlign w:val="top"/>
          </w:tcPr>
          <w:p>
            <w:pPr>
              <w:spacing w:before="20" w:after="20" w:line="252" w:lineRule="auto"/>
            </w:pPr>
            <w:r>
              <w:rPr>
                <w:b w:val="0"/>
                <w:i w:val="0"/>
                <w:sz w:val="19"/>
              </w:rPr>
              <w:t>Los cuatro integrantes</w:t>
            </w:r>
          </w:p>
        </w:tc>
        <w:tc>
          <w:tcPr>
            <w:tcW w:type="dxa" w:w="3048"/>
            <w:shd w:val="clear" w:color="auto" w:fill="F6F9FC"/>
            <w:vAlign w:val="top"/>
          </w:tcPr>
          <w:p>
            <w:pPr>
              <w:spacing w:before="20" w:after="20" w:line="252" w:lineRule="auto"/>
            </w:pPr>
            <w:r>
              <w:rPr>
                <w:b w:val="0"/>
                <w:i w:val="0"/>
                <w:sz w:val="19"/>
              </w:rPr>
              <w:t>Las seis fases de CRISP-DM ejecutadas y documentadas</w:t>
            </w:r>
          </w:p>
        </w:tc>
      </w:tr>
      <w:tr>
        <w:trPr>
          <w:cantSplit w:val="true"/>
        </w:trPr>
        <w:tc>
          <w:tcPr>
            <w:tcW w:type="dxa" w:w="571"/>
            <w:vAlign w:val="top"/>
          </w:tcPr>
          <w:p>
            <w:pPr>
              <w:spacing w:before="20" w:after="20" w:line="252" w:lineRule="auto"/>
            </w:pPr>
            <w:r>
              <w:rPr>
                <w:b w:val="0"/>
                <w:i w:val="0"/>
                <w:sz w:val="19"/>
              </w:rPr>
              <w:t>ON-5</w:t>
            </w:r>
          </w:p>
        </w:tc>
        <w:tc>
          <w:tcPr>
            <w:tcW w:type="dxa" w:w="3810"/>
            <w:vAlign w:val="top"/>
          </w:tcPr>
          <w:p>
            <w:pPr>
              <w:spacing w:before="20" w:after="20" w:line="252" w:lineRule="auto"/>
            </w:pPr>
            <w:r>
              <w:rPr>
                <w:b w:val="0"/>
                <w:i w:val="0"/>
                <w:sz w:val="19"/>
              </w:rPr>
              <w:t>Obtener un resultado publicable aunque sea negativo.</w:t>
            </w:r>
          </w:p>
        </w:tc>
        <w:tc>
          <w:tcPr>
            <w:tcW w:type="dxa" w:w="2095"/>
            <w:vAlign w:val="top"/>
          </w:tcPr>
          <w:p>
            <w:pPr>
              <w:spacing w:before="20" w:after="20" w:line="252" w:lineRule="auto"/>
            </w:pPr>
            <w:r>
              <w:rPr>
                <w:b w:val="0"/>
                <w:i w:val="0"/>
                <w:sz w:val="19"/>
              </w:rPr>
              <w:t>Institución</w:t>
            </w:r>
          </w:p>
        </w:tc>
        <w:tc>
          <w:tcPr>
            <w:tcW w:type="dxa" w:w="3048"/>
            <w:vAlign w:val="top"/>
          </w:tcPr>
          <w:p>
            <w:pPr>
              <w:spacing w:before="20" w:after="20" w:line="252" w:lineRule="auto"/>
            </w:pPr>
            <w:r>
              <w:rPr>
                <w:b w:val="0"/>
                <w:i w:val="0"/>
                <w:sz w:val="19"/>
              </w:rPr>
              <w:t>Veredicto explícito sobre cada hipótesis, sin forzar conclusiones</w:t>
            </w:r>
          </w:p>
        </w:tc>
      </w:tr>
    </w:tbl>
    <w:p>
      <w:pPr>
        <w:spacing w:after="80"/>
      </w:pPr>
    </w:p>
    <w:p>
      <w:pPr>
        <w:pStyle w:val="Heading2"/>
      </w:pPr>
      <w:r>
        <w:t>2.3 Objetivos específicos de explotación de datos</w:t>
      </w:r>
    </w:p>
    <w:p>
      <w:r>
        <w:rPr>
          <w:b w:val="0"/>
          <w:i w:val="0"/>
        </w:rPr>
        <w:t xml:space="preserve">Los objetivos de explotación de datos responden al </w:t>
      </w:r>
      <w:r>
        <w:rPr>
          <w:b/>
          <w:i w:val="0"/>
        </w:rPr>
        <w:t>qué se construye técnicamente</w:t>
      </w:r>
      <w:r>
        <w:rPr>
          <w:b w:val="0"/>
          <w:i w:val="0"/>
        </w:rPr>
        <w:t>. Cada uno se enuncia junto con el procedimiento que lo atenderá y con la condición que se usará para aceptar o rechazar su resultado.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476"/>
            <w:shd w:val="clear" w:color="auto" w:fill="1E3A5F"/>
            <w:vAlign w:val="center"/>
          </w:tcPr>
          <w:p>
            <w:pPr>
              <w:spacing w:before="40" w:after="40"/>
            </w:pPr>
            <w:r>
              <w:rPr>
                <w:b/>
                <w:i w:val="0"/>
                <w:color w:val="FFFFFF"/>
                <w:sz w:val="19"/>
              </w:rPr>
              <w:t>N.º</w:t>
            </w:r>
          </w:p>
        </w:tc>
        <w:tc>
          <w:tcPr>
            <w:tcW w:type="dxa" w:w="2381"/>
            <w:shd w:val="clear" w:color="auto" w:fill="1E3A5F"/>
            <w:vAlign w:val="center"/>
          </w:tcPr>
          <w:p>
            <w:pPr>
              <w:spacing w:before="40" w:after="40"/>
            </w:pPr>
            <w:r>
              <w:rPr>
                <w:b/>
                <w:i w:val="0"/>
                <w:color w:val="FFFFFF"/>
                <w:sz w:val="19"/>
              </w:rPr>
              <w:t>Objetivo específico</w:t>
            </w:r>
          </w:p>
        </w:tc>
        <w:tc>
          <w:tcPr>
            <w:tcW w:type="dxa" w:w="3524"/>
            <w:shd w:val="clear" w:color="auto" w:fill="1E3A5F"/>
            <w:vAlign w:val="center"/>
          </w:tcPr>
          <w:p>
            <w:pPr>
              <w:spacing w:before="40" w:after="40"/>
            </w:pPr>
            <w:r>
              <w:rPr>
                <w:b/>
                <w:i w:val="0"/>
                <w:color w:val="FFFFFF"/>
                <w:sz w:val="19"/>
              </w:rPr>
              <w:t>Procedimiento previsto</w:t>
            </w:r>
          </w:p>
        </w:tc>
        <w:tc>
          <w:tcPr>
            <w:tcW w:type="dxa" w:w="3143"/>
            <w:shd w:val="clear" w:color="auto" w:fill="1E3A5F"/>
            <w:vAlign w:val="center"/>
          </w:tcPr>
          <w:p>
            <w:pPr>
              <w:spacing w:before="40" w:after="40"/>
            </w:pPr>
            <w:r>
              <w:rPr>
                <w:b/>
                <w:i w:val="0"/>
                <w:color w:val="FFFFFF"/>
                <w:sz w:val="19"/>
              </w:rPr>
              <w:t>Condición de aceptación</w:t>
            </w:r>
          </w:p>
        </w:tc>
      </w:tr>
      <w:tr>
        <w:trPr>
          <w:cantSplit w:val="true"/>
        </w:trPr>
        <w:tc>
          <w:tcPr>
            <w:tcW w:type="dxa" w:w="476"/>
            <w:vAlign w:val="top"/>
          </w:tcPr>
          <w:p>
            <w:pPr>
              <w:spacing w:before="20" w:after="20" w:line="252" w:lineRule="auto"/>
            </w:pPr>
            <w:r>
              <w:rPr>
                <w:b w:val="0"/>
                <w:i w:val="0"/>
                <w:sz w:val="19"/>
              </w:rPr>
              <w:t>1</w:t>
            </w:r>
          </w:p>
        </w:tc>
        <w:tc>
          <w:tcPr>
            <w:tcW w:type="dxa" w:w="2381"/>
            <w:vAlign w:val="top"/>
          </w:tcPr>
          <w:p>
            <w:pPr>
              <w:spacing w:before="20" w:after="20" w:line="252" w:lineRule="auto"/>
            </w:pPr>
            <w:r>
              <w:rPr>
                <w:b w:val="0"/>
                <w:i w:val="0"/>
                <w:sz w:val="19"/>
              </w:rPr>
              <w:t>Describir cómo cambió cada variable año por año: magnitud del cambio, tendencia y años atípicos.</w:t>
            </w:r>
          </w:p>
        </w:tc>
        <w:tc>
          <w:tcPr>
            <w:tcW w:type="dxa" w:w="3524"/>
            <w:vAlign w:val="top"/>
          </w:tcPr>
          <w:p>
            <w:pPr>
              <w:spacing w:before="20" w:after="20" w:line="252" w:lineRule="auto"/>
            </w:pPr>
            <w:r>
              <w:rPr>
                <w:b w:val="0"/>
                <w:i w:val="0"/>
                <w:sz w:val="19"/>
              </w:rPr>
              <w:t>Gráfico de línea por variable, regresión lineal sobre el tiempo y detección de atípicos por rango intercuartílico</w:t>
            </w:r>
          </w:p>
        </w:tc>
        <w:tc>
          <w:tcPr>
            <w:tcW w:type="dxa" w:w="3143"/>
            <w:vAlign w:val="top"/>
          </w:tcPr>
          <w:p>
            <w:pPr>
              <w:spacing w:before="20" w:after="20" w:line="252" w:lineRule="auto"/>
            </w:pPr>
            <w:r>
              <w:rPr>
                <w:b w:val="0"/>
                <w:i w:val="0"/>
                <w:sz w:val="19"/>
              </w:rPr>
              <w:t>Informe de tendencia con coeficiente, error estándar y p-valor por variable</w:t>
            </w:r>
          </w:p>
        </w:tc>
      </w:tr>
      <w:tr>
        <w:trPr>
          <w:cantSplit w:val="true"/>
        </w:trPr>
        <w:tc>
          <w:tcPr>
            <w:tcW w:type="dxa" w:w="476"/>
            <w:shd w:val="clear" w:color="auto" w:fill="F6F9FC"/>
            <w:vAlign w:val="top"/>
          </w:tcPr>
          <w:p>
            <w:pPr>
              <w:spacing w:before="20" w:after="20" w:line="252" w:lineRule="auto"/>
            </w:pPr>
            <w:r>
              <w:rPr>
                <w:b w:val="0"/>
                <w:i w:val="0"/>
                <w:sz w:val="19"/>
              </w:rPr>
              <w:t>2</w:t>
            </w:r>
          </w:p>
        </w:tc>
        <w:tc>
          <w:tcPr>
            <w:tcW w:type="dxa" w:w="2381"/>
            <w:shd w:val="clear" w:color="auto" w:fill="F6F9FC"/>
            <w:vAlign w:val="top"/>
          </w:tcPr>
          <w:p>
            <w:pPr>
              <w:spacing w:before="20" w:after="20" w:line="252" w:lineRule="auto"/>
            </w:pPr>
            <w:r>
              <w:rPr>
                <w:b w:val="0"/>
                <w:i w:val="0"/>
                <w:sz w:val="19"/>
              </w:rPr>
              <w:t>Evaluar si existe relación entre el PBI y las variables climáticas.</w:t>
            </w:r>
          </w:p>
        </w:tc>
        <w:tc>
          <w:tcPr>
            <w:tcW w:type="dxa" w:w="3524"/>
            <w:shd w:val="clear" w:color="auto" w:fill="F6F9FC"/>
            <w:vAlign w:val="top"/>
          </w:tcPr>
          <w:p>
            <w:pPr>
              <w:spacing w:before="20" w:after="20" w:line="252" w:lineRule="auto"/>
            </w:pPr>
            <w:r>
              <w:rPr>
                <w:b w:val="0"/>
                <w:i w:val="0"/>
                <w:sz w:val="19"/>
              </w:rPr>
              <w:t>Matriz de correlación de Pearson con p-valor, complementada con análisis detrendizado</w:t>
            </w:r>
          </w:p>
        </w:tc>
        <w:tc>
          <w:tcPr>
            <w:tcW w:type="dxa" w:w="3143"/>
            <w:shd w:val="clear" w:color="auto" w:fill="F6F9FC"/>
            <w:vAlign w:val="top"/>
          </w:tcPr>
          <w:p>
            <w:pPr>
              <w:spacing w:before="20" w:after="20" w:line="252" w:lineRule="auto"/>
            </w:pPr>
            <w:r>
              <w:rPr>
                <w:b w:val="0"/>
                <w:i w:val="0"/>
                <w:sz w:val="19"/>
              </w:rPr>
              <w:t>Matriz completa y contraste explícito entre niveles y residuos</w:t>
            </w:r>
          </w:p>
        </w:tc>
      </w:tr>
      <w:tr>
        <w:trPr>
          <w:cantSplit w:val="true"/>
        </w:trPr>
        <w:tc>
          <w:tcPr>
            <w:tcW w:type="dxa" w:w="476"/>
            <w:vAlign w:val="top"/>
          </w:tcPr>
          <w:p>
            <w:pPr>
              <w:spacing w:before="20" w:after="20" w:line="252" w:lineRule="auto"/>
            </w:pPr>
            <w:r>
              <w:rPr>
                <w:b w:val="0"/>
                <w:i w:val="0"/>
                <w:sz w:val="19"/>
              </w:rPr>
              <w:t>3</w:t>
            </w:r>
          </w:p>
        </w:tc>
        <w:tc>
          <w:tcPr>
            <w:tcW w:type="dxa" w:w="2381"/>
            <w:vAlign w:val="top"/>
          </w:tcPr>
          <w:p>
            <w:pPr>
              <w:spacing w:before="20" w:after="20" w:line="252" w:lineRule="auto"/>
            </w:pPr>
            <w:r>
              <w:rPr>
                <w:b w:val="0"/>
                <w:i w:val="0"/>
                <w:sz w:val="19"/>
              </w:rPr>
              <w:t>Verificar si el PBI, los GEI y la lluvia pueden usarse juntos en un modelo.</w:t>
            </w:r>
          </w:p>
        </w:tc>
        <w:tc>
          <w:tcPr>
            <w:tcW w:type="dxa" w:w="3524"/>
            <w:vAlign w:val="top"/>
          </w:tcPr>
          <w:p>
            <w:pPr>
              <w:spacing w:before="20" w:after="20" w:line="252" w:lineRule="auto"/>
            </w:pPr>
            <w:r>
              <w:rPr>
                <w:b w:val="0"/>
                <w:i w:val="0"/>
                <w:sz w:val="19"/>
              </w:rPr>
              <w:t>Correlación por pares y Variance Inflation Factor para cada variable predictora</w:t>
            </w:r>
          </w:p>
        </w:tc>
        <w:tc>
          <w:tcPr>
            <w:tcW w:type="dxa" w:w="3143"/>
            <w:vAlign w:val="top"/>
          </w:tcPr>
          <w:p>
            <w:pPr>
              <w:spacing w:before="20" w:after="20" w:line="252" w:lineRule="auto"/>
            </w:pPr>
            <w:r>
              <w:rPr>
                <w:b w:val="0"/>
                <w:i w:val="0"/>
                <w:sz w:val="19"/>
              </w:rPr>
              <w:t>Tabla de pares y de VIF, con umbral de referencia declarado</w:t>
            </w:r>
          </w:p>
        </w:tc>
      </w:tr>
      <w:tr>
        <w:trPr>
          <w:cantSplit w:val="true"/>
        </w:trPr>
        <w:tc>
          <w:tcPr>
            <w:tcW w:type="dxa" w:w="476"/>
            <w:shd w:val="clear" w:color="auto" w:fill="F6F9FC"/>
            <w:vAlign w:val="top"/>
          </w:tcPr>
          <w:p>
            <w:pPr>
              <w:spacing w:before="20" w:after="20" w:line="252" w:lineRule="auto"/>
            </w:pPr>
            <w:r>
              <w:rPr>
                <w:b w:val="0"/>
                <w:i w:val="0"/>
                <w:sz w:val="19"/>
              </w:rPr>
              <w:t>4</w:t>
            </w:r>
          </w:p>
        </w:tc>
        <w:tc>
          <w:tcPr>
            <w:tcW w:type="dxa" w:w="2381"/>
            <w:shd w:val="clear" w:color="auto" w:fill="F6F9FC"/>
            <w:vAlign w:val="top"/>
          </w:tcPr>
          <w:p>
            <w:pPr>
              <w:spacing w:before="20" w:after="20" w:line="252" w:lineRule="auto"/>
            </w:pPr>
            <w:r>
              <w:rPr>
                <w:b w:val="0"/>
                <w:i w:val="0"/>
                <w:sz w:val="19"/>
              </w:rPr>
              <w:t>Determinar si la relación PBI–temperatura es estable en el tiempo.</w:t>
            </w:r>
          </w:p>
        </w:tc>
        <w:tc>
          <w:tcPr>
            <w:tcW w:type="dxa" w:w="3524"/>
            <w:shd w:val="clear" w:color="auto" w:fill="F6F9FC"/>
            <w:vAlign w:val="top"/>
          </w:tcPr>
          <w:p>
            <w:pPr>
              <w:spacing w:before="20" w:after="20" w:line="252" w:lineRule="auto"/>
            </w:pPr>
            <w:r>
              <w:rPr>
                <w:b w:val="0"/>
                <w:i w:val="0"/>
                <w:sz w:val="19"/>
              </w:rPr>
              <w:t>Comparación de correlaciones entre dos mitades del período, test de Fisher y modelo con interacción</w:t>
            </w:r>
          </w:p>
        </w:tc>
        <w:tc>
          <w:tcPr>
            <w:tcW w:type="dxa" w:w="3143"/>
            <w:shd w:val="clear" w:color="auto" w:fill="F6F9FC"/>
            <w:vAlign w:val="top"/>
          </w:tcPr>
          <w:p>
            <w:pPr>
              <w:spacing w:before="20" w:after="20" w:line="252" w:lineRule="auto"/>
            </w:pPr>
            <w:r>
              <w:rPr>
                <w:b w:val="0"/>
                <w:i w:val="0"/>
                <w:sz w:val="19"/>
              </w:rPr>
              <w:t>Comparación con p-valor y coeficiente de interacción reportado</w:t>
            </w:r>
          </w:p>
        </w:tc>
      </w:tr>
      <w:tr>
        <w:trPr>
          <w:cantSplit w:val="true"/>
        </w:trPr>
        <w:tc>
          <w:tcPr>
            <w:tcW w:type="dxa" w:w="476"/>
            <w:vAlign w:val="top"/>
          </w:tcPr>
          <w:p>
            <w:pPr>
              <w:spacing w:before="20" w:after="20" w:line="252" w:lineRule="auto"/>
            </w:pPr>
            <w:r>
              <w:rPr>
                <w:b w:val="0"/>
                <w:i w:val="0"/>
                <w:sz w:val="19"/>
              </w:rPr>
              <w:t>5</w:t>
            </w:r>
          </w:p>
        </w:tc>
        <w:tc>
          <w:tcPr>
            <w:tcW w:type="dxa" w:w="2381"/>
            <w:vAlign w:val="top"/>
          </w:tcPr>
          <w:p>
            <w:pPr>
              <w:spacing w:before="20" w:after="20" w:line="252" w:lineRule="auto"/>
            </w:pPr>
            <w:r>
              <w:rPr>
                <w:b w:val="0"/>
                <w:i w:val="0"/>
                <w:sz w:val="19"/>
              </w:rPr>
              <w:t>Construir modelos que predigan la anomalía de temperatura a partir de las variables económicas y climáticas.</w:t>
            </w:r>
          </w:p>
        </w:tc>
        <w:tc>
          <w:tcPr>
            <w:tcW w:type="dxa" w:w="3524"/>
            <w:vAlign w:val="top"/>
          </w:tcPr>
          <w:p>
            <w:pPr>
              <w:spacing w:before="20" w:after="20" w:line="252" w:lineRule="auto"/>
            </w:pPr>
            <w:r>
              <w:rPr>
                <w:b w:val="0"/>
                <w:i w:val="0"/>
                <w:sz w:val="19"/>
              </w:rPr>
              <w:t>Regresión Lineal Múltiple y Random Forest Regressor con partición temporal</w:t>
            </w:r>
          </w:p>
        </w:tc>
        <w:tc>
          <w:tcPr>
            <w:tcW w:type="dxa" w:w="3143"/>
            <w:vAlign w:val="top"/>
          </w:tcPr>
          <w:p>
            <w:pPr>
              <w:spacing w:before="20" w:after="20" w:line="252" w:lineRule="auto"/>
            </w:pPr>
            <w:r>
              <w:rPr>
                <w:b w:val="0"/>
                <w:i w:val="0"/>
                <w:sz w:val="19"/>
              </w:rPr>
              <w:t>Modelos ajustados, diagnosticados y con importancia de variables reportada</w:t>
            </w:r>
          </w:p>
        </w:tc>
      </w:tr>
      <w:tr>
        <w:trPr>
          <w:cantSplit w:val="true"/>
        </w:trPr>
        <w:tc>
          <w:tcPr>
            <w:tcW w:type="dxa" w:w="476"/>
            <w:shd w:val="clear" w:color="auto" w:fill="F6F9FC"/>
            <w:vAlign w:val="top"/>
          </w:tcPr>
          <w:p>
            <w:pPr>
              <w:spacing w:before="20" w:after="20" w:line="252" w:lineRule="auto"/>
            </w:pPr>
            <w:r>
              <w:rPr>
                <w:b w:val="0"/>
                <w:i w:val="0"/>
                <w:sz w:val="19"/>
              </w:rPr>
              <w:t>6</w:t>
            </w:r>
          </w:p>
        </w:tc>
        <w:tc>
          <w:tcPr>
            <w:tcW w:type="dxa" w:w="2381"/>
            <w:shd w:val="clear" w:color="auto" w:fill="F6F9FC"/>
            <w:vAlign w:val="top"/>
          </w:tcPr>
          <w:p>
            <w:pPr>
              <w:spacing w:before="20" w:after="20" w:line="252" w:lineRule="auto"/>
            </w:pPr>
            <w:r>
              <w:rPr>
                <w:b w:val="0"/>
                <w:i w:val="0"/>
                <w:sz w:val="19"/>
              </w:rPr>
              <w:t>Evaluar si los modelos aportan algo frente a no usar ningún modelo.</w:t>
            </w:r>
          </w:p>
        </w:tc>
        <w:tc>
          <w:tcPr>
            <w:tcW w:type="dxa" w:w="3524"/>
            <w:shd w:val="clear" w:color="auto" w:fill="F6F9FC"/>
            <w:vAlign w:val="top"/>
          </w:tcPr>
          <w:p>
            <w:pPr>
              <w:spacing w:before="20" w:after="20" w:line="252" w:lineRule="auto"/>
            </w:pPr>
            <w:r>
              <w:rPr>
                <w:b w:val="0"/>
                <w:i w:val="0"/>
                <w:sz w:val="19"/>
              </w:rPr>
              <w:t>Comparación contra un baseline naive de persistencia mediante RMSE, MAE y R²</w:t>
            </w:r>
          </w:p>
        </w:tc>
        <w:tc>
          <w:tcPr>
            <w:tcW w:type="dxa" w:w="3143"/>
            <w:shd w:val="clear" w:color="auto" w:fill="F6F9FC"/>
            <w:vAlign w:val="top"/>
          </w:tcPr>
          <w:p>
            <w:pPr>
              <w:spacing w:before="20" w:after="20" w:line="252" w:lineRule="auto"/>
            </w:pPr>
            <w:r>
              <w:rPr>
                <w:b w:val="0"/>
                <w:i w:val="0"/>
                <w:sz w:val="19"/>
              </w:rPr>
              <w:t>Tabla comparativa de métricas y regla de decisión explícita</w:t>
            </w:r>
          </w:p>
        </w:tc>
      </w:tr>
    </w:tbl>
    <w:p>
      <w:pPr>
        <w:spacing w:after="80"/>
      </w:pPr>
    </w:p>
    <w:p>
      <w:pPr>
        <w:pStyle w:val="Heading2"/>
      </w:pPr>
      <w:r>
        <w:t>2.4 Criterios de éxito</w:t>
      </w:r>
    </w:p>
    <w:p>
      <w:r>
        <w:rPr>
          <w:b w:val="0"/>
          <w:i w:val="0"/>
        </w:rPr>
        <w:t>Los criterios de éxito se fijan por adelantado, antes de conocer los resultados, para evitar redefinir la meta una vez conocidos los resultados.</w:t>
      </w:r>
    </w:p>
    <w:p>
      <w:pPr>
        <w:pStyle w:val="ListBullet"/>
        <w:spacing w:after="40"/>
        <w:ind w:left="397"/>
      </w:pPr>
      <w:r>
        <w:rPr>
          <w:b/>
          <w:i w:val="0"/>
        </w:rPr>
        <w:t>Criterio 1.</w:t>
      </w:r>
      <w:r>
        <w:rPr>
          <w:b w:val="0"/>
          <w:i w:val="0"/>
        </w:rPr>
        <w:t xml:space="preserve"> El análisis debe identificar al menos una tendencia significativa en alguna de las variables macros del problema.</w:t>
      </w:r>
    </w:p>
    <w:p>
      <w:pPr>
        <w:pStyle w:val="ListBullet"/>
        <w:spacing w:after="40"/>
        <w:ind w:left="397"/>
      </w:pPr>
      <w:r>
        <w:rPr>
          <w:b/>
          <w:i w:val="0"/>
        </w:rPr>
        <w:t>Criterio 2.</w:t>
      </w:r>
      <w:r>
        <w:rPr>
          <w:b w:val="0"/>
          <w:i w:val="0"/>
        </w:rPr>
        <w:t xml:space="preserve"> Toda afirmación del informe debe apoyarse en una prueba estadística con p-valor y tamaño de efecto.</w:t>
      </w:r>
    </w:p>
    <w:p>
      <w:pPr>
        <w:pStyle w:val="ListBullet"/>
        <w:spacing w:after="40"/>
        <w:ind w:left="397"/>
      </w:pPr>
      <w:r>
        <w:rPr>
          <w:b/>
          <w:i w:val="0"/>
        </w:rPr>
        <w:t>Criterio 3.</w:t>
      </w:r>
      <w:r>
        <w:rPr>
          <w:b w:val="0"/>
          <w:i w:val="0"/>
        </w:rPr>
        <w:t xml:space="preserve"> Toda correlación reportada debe aparecer junto con su versión detrendizada y con una advertencia sobre su interpretación causal.</w:t>
      </w:r>
    </w:p>
    <w:p>
      <w:pPr>
        <w:pStyle w:val="ListBullet"/>
        <w:spacing w:after="40"/>
        <w:ind w:left="397"/>
      </w:pPr>
      <w:r>
        <w:rPr>
          <w:b/>
          <w:i w:val="0"/>
        </w:rPr>
        <w:t>Criterio 4.</w:t>
      </w:r>
      <w:r>
        <w:rPr>
          <w:b w:val="0"/>
          <w:i w:val="0"/>
        </w:rPr>
        <w:t xml:space="preserve"> Otro equipo debe poder regenerar todos los números del informe ejecutando el código del repositorio.</w:t>
      </w:r>
    </w:p>
    <w:p>
      <w:pPr>
        <w:pStyle w:val="ListBullet"/>
        <w:spacing w:after="40"/>
        <w:ind w:left="397"/>
      </w:pPr>
      <w:r>
        <w:rPr>
          <w:b/>
          <w:i w:val="0"/>
        </w:rPr>
        <w:t>Criterio 5 (admite resultado negativo).</w:t>
      </w:r>
      <w:r>
        <w:rPr>
          <w:b w:val="0"/>
          <w:i w:val="0"/>
        </w:rPr>
        <w:t xml:space="preserve"> Si los modelos no superan al baseline, el proyecto se mantiene como exitoso siempre que el resultado negativo quede documentado y explicado.</w:t>
      </w:r>
    </w:p>
    <w:p>
      <w:pPr>
        <w:pStyle w:val="Heading1"/>
        <w:pBdr>
          <w:bottom w:val="single" w:sz="6" w:space="6" w:color="B9C7D6"/>
        </w:pBdr>
      </w:pPr>
      <w:r>
        <w:t>3. Pregunta de investigación e hipótesis</w:t>
      </w:r>
    </w:p>
    <w:p>
      <w:pPr>
        <w:pStyle w:val="Heading2"/>
      </w:pPr>
      <w:r>
        <w:t>3.1 Pregunta principal</w:t>
      </w:r>
    </w:p>
    <w:tbl>
      <w:tblPr>
        <w:tblW w:type="auto" w:w="0"/>
        <w:jc w:val="center"/>
        <w:tblLayout w:type="fixed"/>
        <w:tblLook w:firstColumn="1" w:firstRow="1" w:lastColumn="0" w:lastRow="0" w:noHBand="0" w:noVBand="1" w:val="04A0"/>
      </w:tblPr>
      <w:tblGrid>
        <w:gridCol w:w="9518"/>
      </w:tblGrid>
      <w:tr>
        <w:tc>
          <w:tcPr>
            <w:tcW w:type="dxa" w:w="9524"/>
            <w:tcBorders>
              <w:top w:val="single" w:sz="4" w:space="0" w:color="B9C7D6"/>
              <w:bottom w:val="single" w:sz="4" w:space="0" w:color="B9C7D6"/>
              <w:right w:val="single" w:sz="4" w:space="0" w:color="B9C7D6"/>
              <w:left w:val="single" w:sz="18" w:space="0" w:color="1E3A5F"/>
            </w:tcBorders>
            <w:shd w:val="clear" w:color="auto" w:fill="E8EEF5"/>
          </w:tcPr>
          <w:p>
            <w:pPr>
              <w:spacing w:before="40" w:after="40"/>
            </w:pPr>
            <w:r>
              <w:rPr>
                <w:b/>
                <w:i w:val="0"/>
                <w:color w:val="1E3A5F"/>
                <w:sz w:val="21"/>
              </w:rPr>
              <w:t>Pregunta de investigación</w:t>
            </w:r>
          </w:p>
          <w:p>
            <w:pPr>
              <w:spacing w:after="80"/>
            </w:pPr>
            <w:r>
              <w:rPr>
                <w:b w:val="0"/>
                <w:i w:val="0"/>
                <w:sz w:val="20"/>
              </w:rPr>
              <w:t>¿Existe una relación entre el crecimiento económico (PBI) y el cambio climático en Argentina entre 1961 y 2024, y es posible predecir la evolución de la temperatura a partir de las variables económicas y climáticas?</w:t>
            </w:r>
          </w:p>
        </w:tc>
      </w:tr>
    </w:tbl>
    <w:p>
      <w:pPr>
        <w:spacing w:after="80"/>
      </w:pPr>
    </w:p>
    <w:p>
      <w:pPr>
        <w:pStyle w:val="Heading2"/>
      </w:pPr>
      <w:r>
        <w:t>3.2 Preguntas secundarias</w:t>
      </w:r>
    </w:p>
    <w:p>
      <w:pPr>
        <w:pStyle w:val="ListBullet"/>
        <w:spacing w:after="40"/>
        <w:ind w:left="397"/>
      </w:pPr>
      <w:r>
        <w:rPr>
          <w:b w:val="0"/>
          <w:i w:val="0"/>
        </w:rPr>
        <w:t>¿Cómo evolucionó cada variable de forma individual a lo largo del período?</w:t>
      </w:r>
    </w:p>
    <w:p>
      <w:pPr>
        <w:pStyle w:val="ListBullet"/>
        <w:spacing w:after="40"/>
        <w:ind w:left="397"/>
      </w:pPr>
      <w:r>
        <w:rPr>
          <w:b w:val="0"/>
          <w:i w:val="0"/>
        </w:rPr>
        <w:t>¿Las tres variables predictoras aportan información independiente entre sí?</w:t>
      </w:r>
    </w:p>
    <w:p>
      <w:pPr>
        <w:pStyle w:val="ListBullet"/>
        <w:spacing w:after="40"/>
        <w:ind w:left="397"/>
      </w:pPr>
      <w:r>
        <w:rPr>
          <w:b w:val="0"/>
          <w:i w:val="0"/>
        </w:rPr>
        <w:t>¿La relación entre el PBI y la temperatura cambió con el correr de los años?</w:t>
      </w:r>
    </w:p>
    <w:p>
      <w:pPr>
        <w:pStyle w:val="ListBullet"/>
        <w:spacing w:after="40"/>
        <w:ind w:left="397"/>
      </w:pPr>
      <w:r>
        <w:rPr>
          <w:b w:val="0"/>
          <w:i w:val="0"/>
        </w:rPr>
        <w:t>¿Las variables económicas y climáticas alcanzaran a explicar la temperatura mejor que un modelo elemental de referencia?</w:t>
      </w:r>
    </w:p>
    <w:p>
      <w:pPr>
        <w:pStyle w:val="ListBullet"/>
        <w:spacing w:after="40"/>
        <w:ind w:left="397"/>
      </w:pPr>
      <w:r>
        <w:rPr>
          <w:b w:val="0"/>
          <w:i w:val="0"/>
        </w:rPr>
        <w:t>¿Qué parte de la asociación observada se explica por la tendencia común de las series y qué parte, si alguna, es genuina?</w:t>
      </w:r>
    </w:p>
    <w:p>
      <w:pPr>
        <w:pStyle w:val="Heading2"/>
      </w:pPr>
      <w:r>
        <w:t>3.3 Hipótesis de trabajo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762"/>
            <w:shd w:val="clear" w:color="auto" w:fill="1E3A5F"/>
            <w:vAlign w:val="center"/>
          </w:tcPr>
          <w:p>
            <w:pPr>
              <w:spacing w:before="40" w:after="40"/>
            </w:pPr>
            <w:r>
              <w:rPr>
                <w:b/>
                <w:i w:val="0"/>
                <w:color w:val="FFFFFF"/>
                <w:sz w:val="19"/>
              </w:rPr>
              <w:t>Hipótesis</w:t>
            </w:r>
          </w:p>
        </w:tc>
        <w:tc>
          <w:tcPr>
            <w:tcW w:type="dxa" w:w="2857"/>
            <w:shd w:val="clear" w:color="auto" w:fill="1E3A5F"/>
            <w:vAlign w:val="center"/>
          </w:tcPr>
          <w:p>
            <w:pPr>
              <w:spacing w:before="40" w:after="40"/>
            </w:pPr>
            <w:r>
              <w:rPr>
                <w:b/>
                <w:i w:val="0"/>
                <w:color w:val="FFFFFF"/>
                <w:sz w:val="19"/>
              </w:rPr>
              <w:t>Enunciado</w:t>
            </w:r>
          </w:p>
        </w:tc>
        <w:tc>
          <w:tcPr>
            <w:tcW w:type="dxa" w:w="3048"/>
            <w:shd w:val="clear" w:color="auto" w:fill="1E3A5F"/>
            <w:vAlign w:val="center"/>
          </w:tcPr>
          <w:p>
            <w:pPr>
              <w:spacing w:before="40" w:after="40"/>
            </w:pPr>
            <w:r>
              <w:rPr>
                <w:b/>
                <w:i w:val="0"/>
                <w:color w:val="FFFFFF"/>
                <w:sz w:val="19"/>
              </w:rPr>
              <w:t>Procedimiento de contraste</w:t>
            </w:r>
          </w:p>
        </w:tc>
        <w:tc>
          <w:tcPr>
            <w:tcW w:type="dxa" w:w="2857"/>
            <w:shd w:val="clear" w:color="auto" w:fill="1E3A5F"/>
            <w:vAlign w:val="center"/>
          </w:tcPr>
          <w:p>
            <w:pPr>
              <w:spacing w:before="40" w:after="40"/>
            </w:pPr>
            <w:r>
              <w:rPr>
                <w:b/>
                <w:i w:val="0"/>
                <w:color w:val="FFFFFF"/>
                <w:sz w:val="19"/>
              </w:rPr>
              <w:t>Observación que la refutaría</w:t>
            </w:r>
          </w:p>
        </w:tc>
      </w:tr>
      <w:tr>
        <w:trPr>
          <w:cantSplit w:val="true"/>
        </w:trPr>
        <w:tc>
          <w:tcPr>
            <w:tcW w:type="dxa" w:w="762"/>
            <w:vAlign w:val="top"/>
          </w:tcPr>
          <w:p>
            <w:pPr>
              <w:spacing w:before="20" w:after="20" w:line="252" w:lineRule="auto"/>
            </w:pPr>
            <w:r>
              <w:rPr>
                <w:b w:val="0"/>
                <w:i w:val="0"/>
                <w:sz w:val="19"/>
              </w:rPr>
              <w:t>H1</w:t>
            </w:r>
          </w:p>
        </w:tc>
        <w:tc>
          <w:tcPr>
            <w:tcW w:type="dxa" w:w="2857"/>
            <w:vAlign w:val="top"/>
          </w:tcPr>
          <w:p>
            <w:pPr>
              <w:spacing w:before="20" w:after="20" w:line="252" w:lineRule="auto"/>
            </w:pPr>
            <w:r>
              <w:rPr>
                <w:b w:val="0"/>
                <w:i w:val="0"/>
                <w:sz w:val="19"/>
              </w:rPr>
              <w:t>El PBI y las emisiones de GEI se correlacionan positivamente con la anomalía de temperatura; la precipitación se relaciona de forma negativa.</w:t>
            </w:r>
          </w:p>
        </w:tc>
        <w:tc>
          <w:tcPr>
            <w:tcW w:type="dxa" w:w="3048"/>
            <w:vAlign w:val="top"/>
          </w:tcPr>
          <w:p>
            <w:pPr>
              <w:spacing w:before="20" w:after="20" w:line="252" w:lineRule="auto"/>
            </w:pPr>
            <w:r>
              <w:rPr>
                <w:b w:val="0"/>
                <w:i w:val="0"/>
                <w:sz w:val="19"/>
              </w:rPr>
              <w:t>Correlación de Pearson entre pares, en niveles y sobre residuos de la tendencia</w:t>
            </w:r>
          </w:p>
        </w:tc>
        <w:tc>
          <w:tcPr>
            <w:tcW w:type="dxa" w:w="2857"/>
            <w:vAlign w:val="top"/>
          </w:tcPr>
          <w:p>
            <w:pPr>
              <w:spacing w:before="20" w:after="20" w:line="252" w:lineRule="auto"/>
            </w:pPr>
            <w:r>
              <w:rPr>
                <w:b w:val="0"/>
                <w:i w:val="0"/>
                <w:sz w:val="19"/>
              </w:rPr>
              <w:t>Que la correlación desaparezca o cambie de signo al controlar la tendencia</w:t>
            </w:r>
          </w:p>
        </w:tc>
      </w:tr>
      <w:tr>
        <w:trPr>
          <w:cantSplit w:val="true"/>
        </w:trPr>
        <w:tc>
          <w:tcPr>
            <w:tcW w:type="dxa" w:w="762"/>
            <w:shd w:val="clear" w:color="auto" w:fill="F6F9FC"/>
            <w:vAlign w:val="top"/>
          </w:tcPr>
          <w:p>
            <w:pPr>
              <w:spacing w:before="20" w:after="20" w:line="252" w:lineRule="auto"/>
            </w:pPr>
            <w:r>
              <w:rPr>
                <w:b w:val="0"/>
                <w:i w:val="0"/>
                <w:sz w:val="19"/>
              </w:rPr>
              <w:t>H2</w:t>
            </w:r>
          </w:p>
        </w:tc>
        <w:tc>
          <w:tcPr>
            <w:tcW w:type="dxa" w:w="2857"/>
            <w:shd w:val="clear" w:color="auto" w:fill="F6F9FC"/>
            <w:vAlign w:val="top"/>
          </w:tcPr>
          <w:p>
            <w:pPr>
              <w:spacing w:before="20" w:after="20" w:line="252" w:lineRule="auto"/>
            </w:pPr>
            <w:r>
              <w:rPr>
                <w:b w:val="0"/>
                <w:i w:val="0"/>
                <w:sz w:val="19"/>
              </w:rPr>
              <w:t>Esa relación se mantiene o se fortalece con el tiempo.</w:t>
            </w:r>
          </w:p>
        </w:tc>
        <w:tc>
          <w:tcPr>
            <w:tcW w:type="dxa" w:w="3048"/>
            <w:shd w:val="clear" w:color="auto" w:fill="F6F9FC"/>
            <w:vAlign w:val="top"/>
          </w:tcPr>
          <w:p>
            <w:pPr>
              <w:spacing w:before="20" w:after="20" w:line="252" w:lineRule="auto"/>
            </w:pPr>
            <w:r>
              <w:rPr>
                <w:b w:val="0"/>
                <w:i w:val="0"/>
                <w:sz w:val="19"/>
              </w:rPr>
              <w:t>Correlación por mitades, test de Fisher y coeficiente de interacción periodo × PBI</w:t>
            </w:r>
          </w:p>
        </w:tc>
        <w:tc>
          <w:tcPr>
            <w:tcW w:type="dxa" w:w="2857"/>
            <w:shd w:val="clear" w:color="auto" w:fill="F6F9FC"/>
            <w:vAlign w:val="top"/>
          </w:tcPr>
          <w:p>
            <w:pPr>
              <w:spacing w:before="20" w:after="20" w:line="252" w:lineRule="auto"/>
            </w:pPr>
            <w:r>
              <w:rPr>
                <w:b w:val="0"/>
                <w:i w:val="0"/>
                <w:sz w:val="19"/>
              </w:rPr>
              <w:t>Que las correlaciones difieran significativamente o que la interacción sea nula</w:t>
            </w:r>
          </w:p>
        </w:tc>
      </w:tr>
      <w:tr>
        <w:trPr>
          <w:cantSplit w:val="true"/>
        </w:trPr>
        <w:tc>
          <w:tcPr>
            <w:tcW w:type="dxa" w:w="762"/>
            <w:vAlign w:val="top"/>
          </w:tcPr>
          <w:p>
            <w:pPr>
              <w:spacing w:before="20" w:after="20" w:line="252" w:lineRule="auto"/>
            </w:pPr>
            <w:r>
              <w:rPr>
                <w:b w:val="0"/>
                <w:i w:val="0"/>
                <w:sz w:val="19"/>
              </w:rPr>
              <w:t>H3</w:t>
            </w:r>
          </w:p>
        </w:tc>
        <w:tc>
          <w:tcPr>
            <w:tcW w:type="dxa" w:w="2857"/>
            <w:vAlign w:val="top"/>
          </w:tcPr>
          <w:p>
            <w:pPr>
              <w:spacing w:before="20" w:after="20" w:line="252" w:lineRule="auto"/>
            </w:pPr>
            <w:r>
              <w:rPr>
                <w:b w:val="0"/>
                <w:i w:val="0"/>
                <w:sz w:val="19"/>
              </w:rPr>
              <w:t>Es posible construir un modelo predictivo de temperatura que supere a un baseline naive.</w:t>
            </w:r>
          </w:p>
        </w:tc>
        <w:tc>
          <w:tcPr>
            <w:tcW w:type="dxa" w:w="3048"/>
            <w:vAlign w:val="top"/>
          </w:tcPr>
          <w:p>
            <w:pPr>
              <w:spacing w:before="20" w:after="20" w:line="252" w:lineRule="auto"/>
            </w:pPr>
            <w:r>
              <w:rPr>
                <w:b w:val="0"/>
                <w:i w:val="0"/>
                <w:sz w:val="19"/>
              </w:rPr>
              <w:t>Comparación de RMSE contra el baseline naive de persistencia</w:t>
            </w:r>
          </w:p>
        </w:tc>
        <w:tc>
          <w:tcPr>
            <w:tcW w:type="dxa" w:w="2857"/>
            <w:vAlign w:val="top"/>
          </w:tcPr>
          <w:p>
            <w:pPr>
              <w:spacing w:before="20" w:after="20" w:line="252" w:lineRule="auto"/>
            </w:pPr>
            <w:r>
              <w:rPr>
                <w:b w:val="0"/>
                <w:i w:val="0"/>
                <w:sz w:val="19"/>
              </w:rPr>
              <w:t>Que ningún modelo alcance o supere el error del baseline</w:t>
            </w:r>
          </w:p>
        </w:tc>
      </w:tr>
    </w:tbl>
    <w:p>
      <w:pPr>
        <w:spacing w:after="80"/>
      </w:pPr>
    </w:p>
    <w:p>
      <w:pPr>
        <w:pStyle w:val="Heading2"/>
      </w:pPr>
      <w:r>
        <w:t>3.4 Variables del estudio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904"/>
        <w:gridCol w:w="1904"/>
        <w:gridCol w:w="1904"/>
        <w:gridCol w:w="1904"/>
        <w:gridCol w:w="1904"/>
      </w:tblGrid>
      <w:tr>
        <w:trPr>
          <w:cantSplit w:val="true"/>
          <w:tblHeader w:val="true"/>
        </w:trPr>
        <w:tc>
          <w:tcPr>
            <w:tcW w:type="dxa" w:w="2476"/>
            <w:shd w:val="clear" w:color="auto" w:fill="1E3A5F"/>
            <w:vAlign w:val="center"/>
          </w:tcPr>
          <w:p>
            <w:pPr>
              <w:spacing w:before="40" w:after="40"/>
            </w:pPr>
            <w:r>
              <w:rPr>
                <w:b/>
                <w:i w:val="0"/>
                <w:color w:val="FFFFFF"/>
                <w:sz w:val="19"/>
              </w:rPr>
              <w:t>Variable</w:t>
            </w:r>
          </w:p>
        </w:tc>
        <w:tc>
          <w:tcPr>
            <w:tcW w:type="dxa" w:w="1714"/>
            <w:shd w:val="clear" w:color="auto" w:fill="1E3A5F"/>
            <w:vAlign w:val="center"/>
          </w:tcPr>
          <w:p>
            <w:pPr>
              <w:spacing w:before="40" w:after="40"/>
            </w:pPr>
            <w:r>
              <w:rPr>
                <w:b/>
                <w:i w:val="0"/>
                <w:color w:val="FFFFFF"/>
                <w:sz w:val="19"/>
              </w:rPr>
              <w:t>Tipo</w:t>
            </w:r>
          </w:p>
        </w:tc>
        <w:tc>
          <w:tcPr>
            <w:tcW w:type="dxa" w:w="1714"/>
            <w:shd w:val="clear" w:color="auto" w:fill="1E3A5F"/>
            <w:vAlign w:val="center"/>
          </w:tcPr>
          <w:p>
            <w:pPr>
              <w:spacing w:before="40" w:after="40"/>
            </w:pPr>
            <w:r>
              <w:rPr>
                <w:b/>
                <w:i w:val="0"/>
                <w:color w:val="FFFFFF"/>
                <w:sz w:val="19"/>
              </w:rPr>
              <w:t>Rol en el modelo</w:t>
            </w:r>
          </w:p>
        </w:tc>
        <w:tc>
          <w:tcPr>
            <w:tcW w:type="dxa" w:w="1143"/>
            <w:shd w:val="clear" w:color="auto" w:fill="1E3A5F"/>
            <w:vAlign w:val="center"/>
          </w:tcPr>
          <w:p>
            <w:pPr>
              <w:spacing w:before="40" w:after="40"/>
            </w:pPr>
            <w:r>
              <w:rPr>
                <w:b/>
                <w:i w:val="0"/>
                <w:color w:val="FFFFFF"/>
                <w:sz w:val="19"/>
              </w:rPr>
              <w:t>Unidad</w:t>
            </w:r>
          </w:p>
        </w:tc>
        <w:tc>
          <w:tcPr>
            <w:tcW w:type="dxa" w:w="2476"/>
            <w:shd w:val="clear" w:color="auto" w:fill="1E3A5F"/>
            <w:vAlign w:val="center"/>
          </w:tcPr>
          <w:p>
            <w:pPr>
              <w:spacing w:before="40" w:after="40"/>
            </w:pPr>
            <w:r>
              <w:rPr>
                <w:b/>
                <w:i w:val="0"/>
                <w:color w:val="FFFFFF"/>
                <w:sz w:val="19"/>
              </w:rPr>
              <w:t>Fuente prevista</w:t>
            </w:r>
          </w:p>
        </w:tc>
      </w:tr>
      <w:tr>
        <w:trPr>
          <w:cantSplit w:val="true"/>
        </w:trPr>
        <w:tc>
          <w:tcPr>
            <w:tcW w:type="dxa" w:w="2476"/>
            <w:vAlign w:val="top"/>
          </w:tcPr>
          <w:p>
            <w:pPr>
              <w:spacing w:before="20" w:after="20" w:line="252" w:lineRule="auto"/>
            </w:pPr>
            <w:r>
              <w:rPr>
                <w:b w:val="0"/>
                <w:i w:val="0"/>
                <w:sz w:val="19"/>
              </w:rPr>
              <w:t>Anomalía de temperatura media</w:t>
            </w:r>
          </w:p>
        </w:tc>
        <w:tc>
          <w:tcPr>
            <w:tcW w:type="dxa" w:w="1714"/>
            <w:vAlign w:val="top"/>
          </w:tcPr>
          <w:p>
            <w:pPr>
              <w:spacing w:before="20" w:after="20" w:line="252" w:lineRule="auto"/>
            </w:pPr>
            <w:r>
              <w:rPr>
                <w:b w:val="0"/>
                <w:i w:val="0"/>
                <w:sz w:val="19"/>
              </w:rPr>
              <w:t>Cuantitativa continua</w:t>
            </w:r>
          </w:p>
        </w:tc>
        <w:tc>
          <w:tcPr>
            <w:tcW w:type="dxa" w:w="1714"/>
            <w:vAlign w:val="top"/>
          </w:tcPr>
          <w:p>
            <w:pPr>
              <w:spacing w:before="20" w:after="20" w:line="252" w:lineRule="auto"/>
            </w:pPr>
            <w:r>
              <w:rPr>
                <w:b w:val="0"/>
                <w:i w:val="0"/>
                <w:sz w:val="19"/>
              </w:rPr>
              <w:t>Variable respuesta</w:t>
            </w:r>
          </w:p>
        </w:tc>
        <w:tc>
          <w:tcPr>
            <w:tcW w:type="dxa" w:w="1143"/>
            <w:vAlign w:val="top"/>
          </w:tcPr>
          <w:p>
            <w:pPr>
              <w:spacing w:before="20" w:after="20" w:line="252" w:lineRule="auto"/>
            </w:pPr>
            <w:r>
              <w:rPr>
                <w:b w:val="0"/>
                <w:i w:val="0"/>
                <w:sz w:val="19"/>
              </w:rPr>
              <w:t>°C</w:t>
            </w:r>
          </w:p>
        </w:tc>
        <w:tc>
          <w:tcPr>
            <w:tcW w:type="dxa" w:w="2476"/>
            <w:vAlign w:val="top"/>
          </w:tcPr>
          <w:p>
            <w:pPr>
              <w:spacing w:before="20" w:after="20" w:line="252" w:lineRule="auto"/>
            </w:pPr>
            <w:r>
              <w:rPr>
                <w:b w:val="0"/>
                <w:i w:val="0"/>
                <w:sz w:val="19"/>
              </w:rPr>
              <w:t>CIAM / SMN</w:t>
            </w:r>
          </w:p>
        </w:tc>
      </w:tr>
      <w:tr>
        <w:trPr>
          <w:cantSplit w:val="true"/>
        </w:trPr>
        <w:tc>
          <w:tcPr>
            <w:tcW w:type="dxa" w:w="2476"/>
            <w:shd w:val="clear" w:color="auto" w:fill="F6F9FC"/>
            <w:vAlign w:val="top"/>
          </w:tcPr>
          <w:p>
            <w:pPr>
              <w:spacing w:before="20" w:after="20" w:line="252" w:lineRule="auto"/>
            </w:pPr>
            <w:r>
              <w:rPr>
                <w:b w:val="0"/>
                <w:i w:val="0"/>
                <w:sz w:val="19"/>
              </w:rPr>
              <w:t>Crecimiento del PBI</w:t>
            </w:r>
          </w:p>
        </w:tc>
        <w:tc>
          <w:tcPr>
            <w:tcW w:type="dxa" w:w="1714"/>
            <w:shd w:val="clear" w:color="auto" w:fill="F6F9FC"/>
            <w:vAlign w:val="top"/>
          </w:tcPr>
          <w:p>
            <w:pPr>
              <w:spacing w:before="20" w:after="20" w:line="252" w:lineRule="auto"/>
            </w:pPr>
            <w:r>
              <w:rPr>
                <w:b w:val="0"/>
                <w:i w:val="0"/>
                <w:sz w:val="19"/>
              </w:rPr>
              <w:t>Cuantitativa continua</w:t>
            </w:r>
          </w:p>
        </w:tc>
        <w:tc>
          <w:tcPr>
            <w:tcW w:type="dxa" w:w="1714"/>
            <w:shd w:val="clear" w:color="auto" w:fill="F6F9FC"/>
            <w:vAlign w:val="top"/>
          </w:tcPr>
          <w:p>
            <w:pPr>
              <w:spacing w:before="20" w:after="20" w:line="252" w:lineRule="auto"/>
            </w:pPr>
            <w:r>
              <w:rPr>
                <w:b w:val="0"/>
                <w:i w:val="0"/>
                <w:sz w:val="19"/>
              </w:rPr>
              <w:t>Predictora</w:t>
            </w:r>
          </w:p>
        </w:tc>
        <w:tc>
          <w:tcPr>
            <w:tcW w:type="dxa" w:w="1143"/>
            <w:shd w:val="clear" w:color="auto" w:fill="F6F9FC"/>
            <w:vAlign w:val="top"/>
          </w:tcPr>
          <w:p>
            <w:pPr>
              <w:spacing w:before="20" w:after="20" w:line="252" w:lineRule="auto"/>
            </w:pPr>
            <w:r>
              <w:rPr>
                <w:b w:val="0"/>
                <w:i w:val="0"/>
                <w:sz w:val="19"/>
              </w:rPr>
              <w:t>% anual</w:t>
            </w:r>
          </w:p>
        </w:tc>
        <w:tc>
          <w:tcPr>
            <w:tcW w:type="dxa" w:w="2476"/>
            <w:shd w:val="clear" w:color="auto" w:fill="F6F9FC"/>
            <w:vAlign w:val="top"/>
          </w:tcPr>
          <w:p>
            <w:pPr>
              <w:spacing w:before="20" w:after="20" w:line="252" w:lineRule="auto"/>
            </w:pPr>
            <w:r>
              <w:rPr>
                <w:b w:val="0"/>
                <w:i w:val="0"/>
                <w:sz w:val="19"/>
              </w:rPr>
              <w:t>Banco Mundial</w:t>
            </w:r>
          </w:p>
        </w:tc>
      </w:tr>
      <w:tr>
        <w:trPr>
          <w:cantSplit w:val="true"/>
        </w:trPr>
        <w:tc>
          <w:tcPr>
            <w:tcW w:type="dxa" w:w="2476"/>
            <w:vAlign w:val="top"/>
          </w:tcPr>
          <w:p>
            <w:pPr>
              <w:spacing w:before="20" w:after="20" w:line="252" w:lineRule="auto"/>
            </w:pPr>
            <w:r>
              <w:rPr>
                <w:b w:val="0"/>
                <w:i w:val="0"/>
                <w:sz w:val="19"/>
              </w:rPr>
              <w:t>Emisiones de GEI</w:t>
            </w:r>
          </w:p>
        </w:tc>
        <w:tc>
          <w:tcPr>
            <w:tcW w:type="dxa" w:w="1714"/>
            <w:vAlign w:val="top"/>
          </w:tcPr>
          <w:p>
            <w:pPr>
              <w:spacing w:before="20" w:after="20" w:line="252" w:lineRule="auto"/>
            </w:pPr>
            <w:r>
              <w:rPr>
                <w:b w:val="0"/>
                <w:i w:val="0"/>
                <w:sz w:val="19"/>
              </w:rPr>
              <w:t>Cuantitativa continua</w:t>
            </w:r>
          </w:p>
        </w:tc>
        <w:tc>
          <w:tcPr>
            <w:tcW w:type="dxa" w:w="1714"/>
            <w:vAlign w:val="top"/>
          </w:tcPr>
          <w:p>
            <w:pPr>
              <w:spacing w:before="20" w:after="20" w:line="252" w:lineRule="auto"/>
            </w:pPr>
            <w:r>
              <w:rPr>
                <w:b w:val="0"/>
                <w:i w:val="0"/>
                <w:sz w:val="19"/>
              </w:rPr>
              <w:t>Predictora</w:t>
            </w:r>
          </w:p>
        </w:tc>
        <w:tc>
          <w:tcPr>
            <w:tcW w:type="dxa" w:w="1143"/>
            <w:vAlign w:val="top"/>
          </w:tcPr>
          <w:p>
            <w:pPr>
              <w:spacing w:before="20" w:after="20" w:line="252" w:lineRule="auto"/>
            </w:pPr>
            <w:r>
              <w:rPr>
                <w:b w:val="0"/>
                <w:i w:val="0"/>
                <w:sz w:val="19"/>
              </w:rPr>
              <w:t>MtCO₂eq</w:t>
            </w:r>
          </w:p>
        </w:tc>
        <w:tc>
          <w:tcPr>
            <w:tcW w:type="dxa" w:w="2476"/>
            <w:vAlign w:val="top"/>
          </w:tcPr>
          <w:p>
            <w:pPr>
              <w:spacing w:before="20" w:after="20" w:line="252" w:lineRule="auto"/>
            </w:pPr>
            <w:r>
              <w:rPr>
                <w:b w:val="0"/>
                <w:i w:val="0"/>
                <w:sz w:val="19"/>
              </w:rPr>
              <w:t>Global Carbon Project</w:t>
            </w:r>
          </w:p>
        </w:tc>
      </w:tr>
      <w:tr>
        <w:trPr>
          <w:cantSplit w:val="true"/>
        </w:trPr>
        <w:tc>
          <w:tcPr>
            <w:tcW w:type="dxa" w:w="2476"/>
            <w:shd w:val="clear" w:color="auto" w:fill="F6F9FC"/>
            <w:vAlign w:val="top"/>
          </w:tcPr>
          <w:p>
            <w:pPr>
              <w:spacing w:before="20" w:after="20" w:line="252" w:lineRule="auto"/>
            </w:pPr>
            <w:r>
              <w:rPr>
                <w:b w:val="0"/>
                <w:i w:val="0"/>
                <w:sz w:val="19"/>
              </w:rPr>
              <w:t>Anomalía de precipitación</w:t>
            </w:r>
          </w:p>
        </w:tc>
        <w:tc>
          <w:tcPr>
            <w:tcW w:type="dxa" w:w="1714"/>
            <w:shd w:val="clear" w:color="auto" w:fill="F6F9FC"/>
            <w:vAlign w:val="top"/>
          </w:tcPr>
          <w:p>
            <w:pPr>
              <w:spacing w:before="20" w:after="20" w:line="252" w:lineRule="auto"/>
            </w:pPr>
            <w:r>
              <w:rPr>
                <w:b w:val="0"/>
                <w:i w:val="0"/>
                <w:sz w:val="19"/>
              </w:rPr>
              <w:t>Cuantitativa continua</w:t>
            </w:r>
          </w:p>
        </w:tc>
        <w:tc>
          <w:tcPr>
            <w:tcW w:type="dxa" w:w="1714"/>
            <w:shd w:val="clear" w:color="auto" w:fill="F6F9FC"/>
            <w:vAlign w:val="top"/>
          </w:tcPr>
          <w:p>
            <w:pPr>
              <w:spacing w:before="20" w:after="20" w:line="252" w:lineRule="auto"/>
            </w:pPr>
            <w:r>
              <w:rPr>
                <w:b w:val="0"/>
                <w:i w:val="0"/>
                <w:sz w:val="19"/>
              </w:rPr>
              <w:t>Predictora</w:t>
            </w:r>
          </w:p>
        </w:tc>
        <w:tc>
          <w:tcPr>
            <w:tcW w:type="dxa" w:w="1143"/>
            <w:shd w:val="clear" w:color="auto" w:fill="F6F9FC"/>
            <w:vAlign w:val="top"/>
          </w:tcPr>
          <w:p>
            <w:pPr>
              <w:spacing w:before="20" w:after="20" w:line="252" w:lineRule="auto"/>
            </w:pPr>
            <w:r>
              <w:rPr>
                <w:b w:val="0"/>
                <w:i w:val="0"/>
                <w:sz w:val="19"/>
              </w:rPr>
              <w:t>%</w:t>
            </w:r>
          </w:p>
        </w:tc>
        <w:tc>
          <w:tcPr>
            <w:tcW w:type="dxa" w:w="2476"/>
            <w:shd w:val="clear" w:color="auto" w:fill="F6F9FC"/>
            <w:vAlign w:val="top"/>
          </w:tcPr>
          <w:p>
            <w:pPr>
              <w:spacing w:before="20" w:after="20" w:line="252" w:lineRule="auto"/>
            </w:pPr>
            <w:r>
              <w:rPr>
                <w:b w:val="0"/>
                <w:i w:val="0"/>
                <w:sz w:val="19"/>
              </w:rPr>
              <w:t>CIAM / SMN</w:t>
            </w:r>
          </w:p>
        </w:tc>
      </w:tr>
      <w:tr>
        <w:trPr>
          <w:cantSplit w:val="true"/>
        </w:trPr>
        <w:tc>
          <w:tcPr>
            <w:tcW w:type="dxa" w:w="2476"/>
            <w:vAlign w:val="top"/>
          </w:tcPr>
          <w:p>
            <w:pPr>
              <w:spacing w:before="20" w:after="20" w:line="252" w:lineRule="auto"/>
            </w:pPr>
            <w:r>
              <w:rPr>
                <w:b w:val="0"/>
                <w:i w:val="0"/>
                <w:sz w:val="19"/>
              </w:rPr>
              <w:t>Año</w:t>
            </w:r>
          </w:p>
        </w:tc>
        <w:tc>
          <w:tcPr>
            <w:tcW w:type="dxa" w:w="1714"/>
            <w:vAlign w:val="top"/>
          </w:tcPr>
          <w:p>
            <w:pPr>
              <w:spacing w:before="20" w:after="20" w:line="252" w:lineRule="auto"/>
            </w:pPr>
            <w:r>
              <w:rPr>
                <w:b w:val="0"/>
                <w:i w:val="0"/>
                <w:sz w:val="19"/>
              </w:rPr>
              <w:t>Cuantitativa discreta</w:t>
            </w:r>
          </w:p>
        </w:tc>
        <w:tc>
          <w:tcPr>
            <w:tcW w:type="dxa" w:w="1714"/>
            <w:vAlign w:val="top"/>
          </w:tcPr>
          <w:p>
            <w:pPr>
              <w:spacing w:before="20" w:after="20" w:line="252" w:lineRule="auto"/>
            </w:pPr>
            <w:r>
              <w:rPr>
                <w:b w:val="0"/>
                <w:i w:val="0"/>
                <w:sz w:val="19"/>
              </w:rPr>
              <w:t>Variable de tiempo</w:t>
            </w:r>
          </w:p>
        </w:tc>
        <w:tc>
          <w:tcPr>
            <w:tcW w:type="dxa" w:w="1143"/>
            <w:vAlign w:val="top"/>
          </w:tcPr>
          <w:p>
            <w:pPr>
              <w:spacing w:before="20" w:after="20" w:line="252" w:lineRule="auto"/>
            </w:pPr>
            <w:r>
              <w:rPr>
                <w:b w:val="0"/>
                <w:i w:val="0"/>
                <w:sz w:val="19"/>
              </w:rPr>
              <w:t>—</w:t>
            </w:r>
          </w:p>
        </w:tc>
        <w:tc>
          <w:tcPr>
            <w:tcW w:type="dxa" w:w="2476"/>
            <w:vAlign w:val="top"/>
          </w:tcPr>
          <w:p>
            <w:pPr>
              <w:spacing w:before="20" w:after="20" w:line="252" w:lineRule="auto"/>
            </w:pPr>
            <w:r>
              <w:rPr>
                <w:b w:val="0"/>
                <w:i w:val="0"/>
                <w:sz w:val="19"/>
              </w:rPr>
              <w:t>—</w:t>
            </w:r>
          </w:p>
        </w:tc>
      </w:tr>
    </w:tbl>
    <w:p>
      <w:pPr>
        <w:spacing w:after="80"/>
      </w:pPr>
    </w:p>
    <w:p>
      <w:pPr>
        <w:pStyle w:val="Heading1"/>
        <w:pBdr>
          <w:bottom w:val="single" w:sz="6" w:space="6" w:color="B9C7D6"/>
        </w:pBdr>
      </w:pPr>
      <w:r>
        <w:t>4. Marco teórico</w:t>
      </w:r>
    </w:p>
    <w:p>
      <w:r>
        <w:rPr>
          <w:b w:val="0"/>
          <w:i w:val="0"/>
        </w:rPr>
        <w:t>Este apartado fija el lenguaje conceptual y las herramientas estadísticas que el resto del informe usa sin necesidad de volver a definirlas.</w:t>
      </w:r>
    </w:p>
    <w:p>
      <w:pPr>
        <w:pStyle w:val="Heading2"/>
      </w:pPr>
      <w:r>
        <w:t>4.1 El cambio climático y sus indicadores</w:t>
      </w:r>
    </w:p>
    <w:p>
      <w:r>
        <w:rPr>
          <w:b w:val="0"/>
          <w:i w:val="0"/>
        </w:rPr>
        <w:t>El sistema climático terrestre presenta un equilibrio entre la radiación solar que ingresa y la radiación infrarroja que escapa. La actividad humana modifica ese balance al emitir gases de efecto invernadero, que absorben y reemiten radiación infrarroja y elevan la temperatura de la superficie y de la atmósfera baja.</w:t>
      </w:r>
    </w:p>
    <w:p>
      <w:r>
        <w:rPr>
          <w:b w:val="0"/>
          <w:i w:val="0"/>
        </w:rPr>
        <w:t>Para medir ese cambio se emplean tres familias de indicadores:</w:t>
      </w:r>
    </w:p>
    <w:p>
      <w:pPr>
        <w:pStyle w:val="ListBullet"/>
        <w:spacing w:after="40"/>
        <w:ind w:left="397"/>
      </w:pPr>
      <w:r>
        <w:rPr>
          <w:b/>
          <w:i w:val="0"/>
        </w:rPr>
        <w:t>Anomalía térmica:</w:t>
      </w:r>
      <w:r>
        <w:rPr>
          <w:b w:val="0"/>
          <w:i w:val="0"/>
        </w:rPr>
        <w:t xml:space="preserve"> la diferencia entre la temperatura observada y la de un período de referencia. Se usa en lugar del valor absoluto porque permite comparar lugares y momentos con distintas bases de referencia, y elimina el efecto del ciclo anual.</w:t>
      </w:r>
    </w:p>
    <w:p>
      <w:pPr>
        <w:pStyle w:val="ListBullet"/>
        <w:spacing w:after="40"/>
        <w:ind w:left="397"/>
      </w:pPr>
      <w:r>
        <w:rPr>
          <w:b/>
          <w:i w:val="0"/>
        </w:rPr>
        <w:t>Anomalía de precipitación:</w:t>
      </w:r>
      <w:r>
        <w:rPr>
          <w:b w:val="0"/>
          <w:i w:val="0"/>
        </w:rPr>
        <w:t xml:space="preserve"> la diferencia porcentual respecto del valor normal de la estación. El cambio climático no se manifiesta solo como más lluvia, sino como un cambio en la distribución y la intensidad de las lluvias.</w:t>
      </w:r>
    </w:p>
    <w:p>
      <w:pPr>
        <w:pStyle w:val="ListBullet"/>
        <w:spacing w:after="40"/>
        <w:ind w:left="397"/>
      </w:pPr>
      <w:r>
        <w:rPr>
          <w:b/>
          <w:i w:val="0"/>
        </w:rPr>
        <w:t>Emisiones de gases de efecto invernadero:</w:t>
      </w:r>
      <w:r>
        <w:rPr>
          <w:b w:val="0"/>
          <w:i w:val="0"/>
        </w:rPr>
        <w:t xml:space="preserve"> se expresan en CO₂ equivalente, que suma las emisiones de cada gas multiplicadas por su potencial de calentamiento a 100 años.</w:t>
      </w:r>
    </w:p>
    <w:p>
      <w:pPr>
        <w:pStyle w:val="Heading2"/>
      </w:pPr>
      <w:r>
        <w:t>4.2 Crecimiento económico y producto bruto interno</w:t>
      </w:r>
    </w:p>
    <w:p>
      <w:r>
        <w:rPr>
          <w:b w:val="0"/>
          <w:i w:val="0"/>
        </w:rPr>
        <w:t xml:space="preserve">El producto bruto interno (PBI) es el valor de la producción de bienes y servicios de un país en un período. El análisis del crecimiento económico se realiza habitualmente sobre su </w:t>
      </w:r>
      <w:r>
        <w:rPr>
          <w:b/>
          <w:i w:val="0"/>
        </w:rPr>
        <w:t>tasa de crecimiento</w:t>
      </w:r>
      <w:r>
        <w:rPr>
          <w:b w:val="0"/>
          <w:i w:val="0"/>
        </w:rPr>
        <w:t xml:space="preserve"> anual y no sobre su nivel.</w:t>
      </w:r>
    </w:p>
    <w:p>
      <w:r>
        <w:rPr>
          <w:b w:val="0"/>
          <w:i w:val="0"/>
        </w:rPr>
        <w:t>La distinción es metodológicamente decisiva. El nivel del PBI es una serie acumulativa: crece con el tiempo por definición. Correlacionar dos series que ambas crecen —el PBI y la temperatura— produce asociaciones altas que no reflejan ninguna relación entre sus variaciones. La tasa de crecimiento, en cambio, es estacionaria y mide el vaivén de la actividad económica año a año. Este trabajo utiliza la tasa de crecimiento como variable principal y emplea el nivel del PBI per cápita únicamente como análisis de contraste.</w:t>
      </w:r>
    </w:p>
    <w:p>
      <w:pPr>
        <w:pStyle w:val="Heading2"/>
      </w:pPr>
      <w:r>
        <w:t>4.3 Series no estacionarias y correlación espuria</w:t>
      </w:r>
    </w:p>
    <w:p>
      <w:r>
        <w:rPr>
          <w:b w:val="0"/>
          <w:i w:val="0"/>
        </w:rPr>
        <w:t xml:space="preserve">Una serie </w:t>
      </w:r>
      <w:r>
        <w:rPr>
          <w:b/>
          <w:i w:val="0"/>
        </w:rPr>
        <w:t>estacionaria</w:t>
      </w:r>
      <w:r>
        <w:rPr>
          <w:b w:val="0"/>
          <w:i w:val="0"/>
        </w:rPr>
        <w:t xml:space="preserve"> tiene media y varianza constantes en el tiempo. Las series macroeconómicas y demográficas rara vez lo son: muestran tendencias, ciclos y una autocorrelación elevada que hace que el valor de un año prediga casi por completo el siguiente.</w:t>
      </w:r>
    </w:p>
    <w:p>
      <w:r>
        <w:rPr>
          <w:b w:val="0"/>
          <w:i w:val="0"/>
        </w:rPr>
        <w:t xml:space="preserve">El problema aparece al combinarlas. </w:t>
      </w:r>
      <w:r>
        <w:rPr>
          <w:b/>
          <w:i w:val="0"/>
        </w:rPr>
        <w:t>Granger y Newbold (1974)</w:t>
      </w:r>
      <w:r>
        <w:rPr>
          <w:b w:val="0"/>
          <w:i w:val="0"/>
        </w:rPr>
        <w:t xml:space="preserve"> demostraron que la regresión de una serie no estacionaria sobre otra puede producir coeficientes estadísticamente significativos aunque ambas series sean rutas aleatorias independientes. El sentido de esa asociación es siempre positivo, porque ambas series tienden a crecer, y por eso mismo es el resultado más fácil de aceptar por error.</w:t>
      </w:r>
    </w:p>
    <w:p>
      <w:r>
        <w:rPr>
          <w:b w:val="0"/>
          <w:i w:val="0"/>
        </w:rPr>
        <w:t xml:space="preserve">La defensa estándar contra este problema es trabajar con los </w:t>
      </w:r>
      <w:r>
        <w:rPr>
          <w:b/>
          <w:i w:val="0"/>
        </w:rPr>
        <w:t>residuales de la regresión</w:t>
      </w:r>
      <w:r>
        <w:rPr>
          <w:b w:val="0"/>
          <w:i w:val="0"/>
        </w:rPr>
        <w:t xml:space="preserve"> de cada serie sobre una función del tiempo: una vez eliminada la tendencia común, lo que queda es la variación real de cada variable alrededor de su propio movimiento de largo plazo. Este trabajo reporta sistemáticamente ambas versiones —en niveles y detrendizada— para que ninguna afirmación quede abierta a una lectura apresurada.</w:t>
      </w:r>
    </w:p>
    <w:p>
      <w:pPr>
        <w:pStyle w:val="Heading2"/>
      </w:pPr>
      <w:r>
        <w:t>4.4 Multicolinealidad</w:t>
      </w:r>
    </w:p>
    <w:p>
      <w:r>
        <w:rPr>
          <w:b w:val="0"/>
          <w:i w:val="0"/>
        </w:rPr>
        <w:t>En un modelo de regresión múltiple, la multicolinealidad aparece cuando dos o más variables predictoras están fuertemente correlacionadas entre sí. No impide ajustar el modelo, pero degrada la estimación: los coeficientes se vuelven inestables, sus errores estándar se inflan y la significación de cada variable pierde sentido. El síntoma más visible es un alto valor de R² acompañado de coeficientes individualmente poco significativos.</w:t>
      </w:r>
    </w:p>
    <w:p>
      <w:r>
        <w:rPr>
          <w:b w:val="0"/>
          <w:i w:val="0"/>
        </w:rPr>
        <w:t xml:space="preserve">La forma estándar de cuantificarla es el </w:t>
      </w:r>
      <w:r>
        <w:rPr>
          <w:b/>
          <w:i w:val="0"/>
        </w:rPr>
        <w:t>Variance Inflation Factor</w:t>
      </w:r>
      <w:r>
        <w:rPr>
          <w:b w:val="0"/>
          <w:i w:val="0"/>
        </w:rPr>
        <w:t>:</w:t>
      </w:r>
    </w:p>
    <w:p>
      <w:pPr>
        <w:spacing w:before="120" w:after="120"/>
        <w:jc w:val="center"/>
      </w:pPr>
      <w:r>
        <w:rPr>
          <w:b/>
          <w:i w:val="0"/>
          <w:color w:val="1E3A5F"/>
          <w:sz w:val="22"/>
        </w:rPr>
        <w:t>VIFⱼ = 1 / (1 − R²ⱼ)</w:t>
      </w:r>
    </w:p>
    <w:p>
      <w:r>
        <w:rPr>
          <w:b w:val="0"/>
          <w:i w:val="0"/>
        </w:rPr>
        <w:t>donde R²ⱼ es el coeficiente de determinación de la regresión de la variable *j* sobre todas las demás. El mínimo teórico del indicador es 1, que corresponde a variables ortogonales. La regla habitual es:</w:t>
      </w:r>
    </w:p>
    <w:p>
      <w:pPr>
        <w:pStyle w:val="ListBullet"/>
        <w:spacing w:after="40"/>
        <w:ind w:left="397"/>
      </w:pPr>
      <w:r>
        <w:rPr>
          <w:b w:val="0"/>
          <w:i w:val="0"/>
        </w:rPr>
        <w:t>VIF &lt; 5: multicolinealidad despreciable.</w:t>
      </w:r>
    </w:p>
    <w:p>
      <w:pPr>
        <w:pStyle w:val="ListBullet"/>
        <w:spacing w:after="40"/>
        <w:ind w:left="397"/>
      </w:pPr>
      <w:r>
        <w:rPr>
          <w:b w:val="0"/>
          <w:i w:val="0"/>
        </w:rPr>
        <w:t>5 ≤ VIF &lt; 10: multicolinealidad moderada; conviene estar atento a la estabilidad de los coeficientes.</w:t>
      </w:r>
    </w:p>
    <w:p>
      <w:pPr>
        <w:pStyle w:val="ListBullet"/>
        <w:spacing w:after="40"/>
        <w:ind w:left="397"/>
      </w:pPr>
      <w:r>
        <w:rPr>
          <w:b w:val="0"/>
          <w:i w:val="0"/>
        </w:rPr>
        <w:t>VIF ≥ 10: multicolinealidad severa; las variables solapan información y el modelo pierde sentido causal.</w:t>
      </w:r>
    </w:p>
    <w:p>
      <w:pPr>
        <w:pStyle w:val="Heading2"/>
      </w:pPr>
      <w:r>
        <w:t>4.5 Modelos de regresión y ensembles</w:t>
      </w:r>
    </w:p>
    <w:p>
      <w:r>
        <w:rPr>
          <w:b w:val="0"/>
          <w:i w:val="0"/>
        </w:rPr>
        <w:t>El trabajo emplea dos familias de modelos con propiedades complementarias, que se justifican en detalle en el apartado 8.</w:t>
      </w:r>
    </w:p>
    <w:p>
      <w:pPr>
        <w:pStyle w:val="ListBullet"/>
        <w:spacing w:after="40"/>
        <w:ind w:left="397"/>
      </w:pPr>
      <w:r>
        <w:rPr>
          <w:b/>
          <w:i w:val="0"/>
        </w:rPr>
        <w:t>Modelos lineales:</w:t>
      </w:r>
      <w:r>
        <w:rPr>
          <w:b w:val="0"/>
          <w:i w:val="0"/>
        </w:rPr>
        <w:t xml:space="preserve"> relacionan la variable respuesta con las predictoras mediante una ecuación lineal en sus parámetros. Son transparentes: cada coeficiente se interpreta directamente como el cambio en la predicción ante un cambio unitario en la variable correspondiente.</w:t>
      </w:r>
    </w:p>
    <w:p>
      <w:pPr>
        <w:pStyle w:val="ListBullet"/>
        <w:spacing w:after="40"/>
        <w:ind w:left="397"/>
      </w:pPr>
      <w:r>
        <w:rPr>
          <w:b/>
          <w:i w:val="0"/>
        </w:rPr>
        <w:t>Modelos de ensembles:</w:t>
      </w:r>
      <w:r>
        <w:rPr>
          <w:b w:val="0"/>
          <w:i w:val="0"/>
        </w:rPr>
        <w:t xml:space="preserve"> combinan muchos modelos simples para formar uno compuesto. Capturan interacciones y relaciones no lineales, a costa de perder la interpretabilidad directa de los parámetros.</w:t>
      </w:r>
    </w:p>
    <w:p>
      <w:pPr>
        <w:pStyle w:val="Heading2"/>
      </w:pPr>
      <w:r>
        <w:t>4.6 Diseño de la evaluación predictiva</w:t>
      </w:r>
    </w:p>
    <w:p>
      <w:r>
        <w:rPr>
          <w:b w:val="0"/>
          <w:i w:val="0"/>
        </w:rPr>
        <w:t xml:space="preserve">En un problema de series temporales, la partición aleatoria de los datos filtra información del futuro hacia el pasado y produce estimaciones optimistas. El diseño correcto es la </w:t>
      </w:r>
      <w:r>
        <w:rPr>
          <w:b/>
          <w:i w:val="0"/>
        </w:rPr>
        <w:t>partición temporal</w:t>
      </w:r>
      <w:r>
        <w:rPr>
          <w:b w:val="0"/>
          <w:i w:val="0"/>
        </w:rPr>
        <w:t>: se entrena con los años más tempranos y se evalúa con los más recientes, que es exactamente la situación a la que se enfrenta quien quiere predecir.</w:t>
      </w:r>
    </w:p>
    <w:p>
      <w:r>
        <w:rPr>
          <w:b w:val="0"/>
          <w:i w:val="0"/>
        </w:rPr>
        <w:t xml:space="preserve">Además, todo modelo predictivo debe compararse con un </w:t>
      </w:r>
      <w:r>
        <w:rPr>
          <w:b/>
          <w:i w:val="0"/>
        </w:rPr>
        <w:t>baseline</w:t>
      </w:r>
      <w:r>
        <w:rPr>
          <w:b w:val="0"/>
          <w:i w:val="0"/>
        </w:rPr>
        <w:t>, es decir, con la regla más simple posible. Si un modelo no mejora al elemental, su complejidad no está justificada y la conclusión honesta es que las variables disponibles no alcanzan para el problema.</w:t>
      </w:r>
    </w:p>
    <w:p>
      <w:pPr>
        <w:pStyle w:val="Heading1"/>
        <w:pBdr>
          <w:bottom w:val="single" w:sz="6" w:space="6" w:color="B9C7D6"/>
        </w:pBdr>
      </w:pPr>
      <w:r>
        <w:t>5. Procedimiento de recolección de datos</w:t>
      </w:r>
    </w:p>
    <w:p>
      <w:r>
        <w:rPr>
          <w:b w:val="0"/>
          <w:i w:val="0"/>
        </w:rPr>
        <w:t xml:space="preserve">Este apartado explica </w:t>
      </w:r>
      <w:r>
        <w:rPr>
          <w:b/>
          <w:i w:val="0"/>
        </w:rPr>
        <w:t>cómo se recolectarán los datos</w:t>
      </w:r>
      <w:r>
        <w:rPr>
          <w:b w:val="0"/>
          <w:i w:val="0"/>
        </w:rPr>
        <w:t xml:space="preserve"> y </w:t>
      </w:r>
      <w:r>
        <w:rPr>
          <w:b/>
          <w:i w:val="0"/>
        </w:rPr>
        <w:t>cómo se analizarán en función de las métricas a obtener</w:t>
      </w:r>
      <w:r>
        <w:rPr>
          <w:b w:val="0"/>
          <w:i w:val="0"/>
        </w:rPr>
        <w:t>, conforme a la estructura exigida por la cátedra.</w:t>
      </w:r>
    </w:p>
    <w:p>
      <w:pPr>
        <w:pStyle w:val="Heading2"/>
      </w:pPr>
      <w:r>
        <w:t>5.1 Diseño de la recolección</w:t>
      </w:r>
    </w:p>
    <w:p>
      <w:r>
        <w:rPr>
          <w:b w:val="0"/>
          <w:i w:val="0"/>
        </w:rPr>
        <w:t>La recolección se diseñó como un proceso de cuatro pasos, pensado para que cualquier fuente pueda incorporarse sin romper lo ya construido:</w:t>
      </w:r>
    </w:p>
    <w:p>
      <w:pPr>
        <w:pStyle w:val="ListNumber"/>
        <w:spacing w:after="40"/>
        <w:ind w:left="397"/>
      </w:pPr>
      <w:r>
        <w:rPr>
          <w:b/>
          <w:i w:val="0"/>
        </w:rPr>
        <w:t>Levantamiento de candidatos.</w:t>
      </w:r>
      <w:r>
        <w:rPr>
          <w:b w:val="0"/>
          <w:i w:val="0"/>
        </w:rPr>
        <w:t xml:space="preserve"> Se parte de las variables que exigen los objetivos del proyecto y se identifican los organismos que las publican en Argentina y en el ámbito internacional.</w:t>
      </w:r>
    </w:p>
    <w:p>
      <w:pPr>
        <w:pStyle w:val="ListNumber"/>
        <w:spacing w:after="40"/>
        <w:ind w:left="397"/>
      </w:pPr>
      <w:r>
        <w:rPr>
          <w:b/>
          <w:i w:val="0"/>
        </w:rPr>
        <w:t>Aplicación de criterios de selección.</w:t>
      </w:r>
      <w:r>
        <w:rPr>
          <w:b w:val="0"/>
          <w:i w:val="0"/>
        </w:rPr>
        <w:t xml:space="preserve"> Cada candidato se evalúa contra cinco criterios: oficialidad, continuidad temporal, estabilidad metodológica, compatibilidad de licencia y formato utilizable. Solo pasa a la descarga si supera los cuatro primeros.</w:t>
      </w:r>
    </w:p>
    <w:p>
      <w:pPr>
        <w:pStyle w:val="ListNumber"/>
        <w:spacing w:after="40"/>
        <w:ind w:left="397"/>
      </w:pPr>
      <w:r>
        <w:rPr>
          <w:b/>
          <w:i w:val="0"/>
        </w:rPr>
        <w:t>Descarga y resguardo.</w:t>
      </w:r>
      <w:r>
        <w:rPr>
          <w:b w:val="0"/>
          <w:i w:val="0"/>
        </w:rPr>
        <w:t xml:space="preserve"> El archivo original se guarda sin modificar, junto con la fecha de descarga y una ficha de metadatos que registra organismo, autor, URL, licencia, cobertura y observaciones.</w:t>
      </w:r>
    </w:p>
    <w:p>
      <w:pPr>
        <w:pStyle w:val="ListNumber"/>
        <w:spacing w:after="40"/>
        <w:ind w:left="397"/>
      </w:pPr>
      <w:r>
        <w:rPr>
          <w:b/>
          <w:i w:val="0"/>
        </w:rPr>
        <w:t>Unificación por clave.</w:t>
      </w:r>
      <w:r>
        <w:rPr>
          <w:b w:val="0"/>
          <w:i w:val="0"/>
        </w:rPr>
        <w:t xml:space="preserve"> Todas las series se indexan por año y se unen en una única tabla, que es el punto de partida de la fase de preparación.</w:t>
      </w:r>
    </w:p>
    <w:p>
      <w:pPr>
        <w:pStyle w:val="Heading2"/>
      </w:pPr>
      <w:r>
        <w:t>5.2 Fuentes previstas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904"/>
        <w:gridCol w:w="1904"/>
        <w:gridCol w:w="1904"/>
        <w:gridCol w:w="1904"/>
        <w:gridCol w:w="1904"/>
      </w:tblGrid>
      <w:tr>
        <w:trPr>
          <w:cantSplit w:val="true"/>
          <w:tblHeader w:val="true"/>
        </w:trPr>
        <w:tc>
          <w:tcPr>
            <w:tcW w:type="dxa" w:w="1810"/>
            <w:shd w:val="clear" w:color="auto" w:fill="1E3A5F"/>
            <w:vAlign w:val="center"/>
          </w:tcPr>
          <w:p>
            <w:pPr>
              <w:spacing w:before="40" w:after="40"/>
            </w:pPr>
            <w:r>
              <w:rPr>
                <w:b/>
                <w:i w:val="0"/>
                <w:color w:val="FFFFFF"/>
                <w:sz w:val="19"/>
              </w:rPr>
              <w:t>Variable</w:t>
            </w:r>
          </w:p>
        </w:tc>
        <w:tc>
          <w:tcPr>
            <w:tcW w:type="dxa" w:w="3429"/>
            <w:shd w:val="clear" w:color="auto" w:fill="1E3A5F"/>
            <w:vAlign w:val="center"/>
          </w:tcPr>
          <w:p>
            <w:pPr>
              <w:spacing w:before="40" w:after="40"/>
            </w:pPr>
            <w:r>
              <w:rPr>
                <w:b/>
                <w:i w:val="0"/>
                <w:color w:val="FFFFFF"/>
                <w:sz w:val="19"/>
              </w:rPr>
              <w:t>Fuente prevista</w:t>
            </w:r>
          </w:p>
        </w:tc>
        <w:tc>
          <w:tcPr>
            <w:tcW w:type="dxa" w:w="1619"/>
            <w:shd w:val="clear" w:color="auto" w:fill="1E3A5F"/>
            <w:vAlign w:val="center"/>
          </w:tcPr>
          <w:p>
            <w:pPr>
              <w:spacing w:before="40" w:after="40"/>
            </w:pPr>
            <w:r>
              <w:rPr>
                <w:b/>
                <w:i w:val="0"/>
                <w:color w:val="FFFFFF"/>
                <w:sz w:val="19"/>
              </w:rPr>
              <w:t>Cobertura esperada</w:t>
            </w:r>
          </w:p>
        </w:tc>
        <w:tc>
          <w:tcPr>
            <w:tcW w:type="dxa" w:w="1333"/>
            <w:shd w:val="clear" w:color="auto" w:fill="1E3A5F"/>
            <w:vAlign w:val="center"/>
          </w:tcPr>
          <w:p>
            <w:pPr>
              <w:spacing w:before="40" w:after="40"/>
            </w:pPr>
            <w:r>
              <w:rPr>
                <w:b/>
                <w:i w:val="0"/>
                <w:color w:val="FFFFFF"/>
                <w:sz w:val="19"/>
              </w:rPr>
              <w:t>Licencia</w:t>
            </w:r>
          </w:p>
        </w:tc>
        <w:tc>
          <w:tcPr>
            <w:tcW w:type="dxa" w:w="1333"/>
            <w:shd w:val="clear" w:color="auto" w:fill="1E3A5F"/>
            <w:vAlign w:val="center"/>
          </w:tcPr>
          <w:p>
            <w:pPr>
              <w:spacing w:before="40" w:after="40"/>
            </w:pPr>
            <w:r>
              <w:rPr>
                <w:b/>
                <w:i w:val="0"/>
                <w:color w:val="FFFFFF"/>
                <w:sz w:val="19"/>
              </w:rPr>
              <w:t>Formato</w:t>
            </w:r>
          </w:p>
        </w:tc>
      </w:tr>
      <w:tr>
        <w:trPr>
          <w:cantSplit w:val="true"/>
        </w:trPr>
        <w:tc>
          <w:tcPr>
            <w:tcW w:type="dxa" w:w="1810"/>
            <w:vAlign w:val="top"/>
          </w:tcPr>
          <w:p>
            <w:pPr>
              <w:spacing w:before="20" w:after="20" w:line="252" w:lineRule="auto"/>
            </w:pPr>
            <w:r>
              <w:rPr>
                <w:b w:val="0"/>
                <w:i w:val="0"/>
                <w:sz w:val="19"/>
              </w:rPr>
              <w:t>Temperatura y precipitación</w:t>
            </w:r>
          </w:p>
        </w:tc>
        <w:tc>
          <w:tcPr>
            <w:tcW w:type="dxa" w:w="3429"/>
            <w:vAlign w:val="top"/>
          </w:tcPr>
          <w:p>
            <w:pPr>
              <w:spacing w:before="20" w:after="20" w:line="252" w:lineRule="auto"/>
            </w:pPr>
            <w:r>
              <w:rPr>
                <w:b w:val="0"/>
                <w:i w:val="0"/>
                <w:sz w:val="19"/>
              </w:rPr>
              <w:t>Centro de Información Ambiental (CIAM), Secretaría de Ambiente, sobre datos del Servicio Meteorológico Nacional</w:t>
            </w:r>
          </w:p>
        </w:tc>
        <w:tc>
          <w:tcPr>
            <w:tcW w:type="dxa" w:w="1619"/>
            <w:vAlign w:val="top"/>
          </w:tcPr>
          <w:p>
            <w:pPr>
              <w:spacing w:before="20" w:after="20" w:line="252" w:lineRule="auto"/>
            </w:pPr>
            <w:r>
              <w:rPr>
                <w:b w:val="0"/>
                <w:i w:val="0"/>
                <w:sz w:val="19"/>
              </w:rPr>
              <w:t>Desde 1961</w:t>
            </w:r>
          </w:p>
        </w:tc>
        <w:tc>
          <w:tcPr>
            <w:tcW w:type="dxa" w:w="1333"/>
            <w:vAlign w:val="top"/>
          </w:tcPr>
          <w:p>
            <w:pPr>
              <w:spacing w:before="20" w:after="20" w:line="252" w:lineRule="auto"/>
            </w:pPr>
            <w:r>
              <w:rPr>
                <w:b w:val="0"/>
                <w:i w:val="0"/>
                <w:sz w:val="19"/>
              </w:rPr>
              <w:t>Uso público</w:t>
            </w:r>
          </w:p>
        </w:tc>
        <w:tc>
          <w:tcPr>
            <w:tcW w:type="dxa" w:w="1333"/>
            <w:vAlign w:val="top"/>
          </w:tcPr>
          <w:p>
            <w:pPr>
              <w:spacing w:before="20" w:after="20" w:line="252" w:lineRule="auto"/>
            </w:pPr>
            <w:r>
              <w:rPr>
                <w:b w:val="0"/>
                <w:i w:val="0"/>
                <w:sz w:val="19"/>
              </w:rPr>
              <w:t>CSV</w:t>
            </w:r>
          </w:p>
        </w:tc>
      </w:tr>
      <w:tr>
        <w:trPr>
          <w:cantSplit w:val="true"/>
        </w:trPr>
        <w:tc>
          <w:tcPr>
            <w:tcW w:type="dxa" w:w="1810"/>
            <w:shd w:val="clear" w:color="auto" w:fill="F6F9FC"/>
            <w:vAlign w:val="top"/>
          </w:tcPr>
          <w:p>
            <w:pPr>
              <w:spacing w:before="20" w:after="20" w:line="252" w:lineRule="auto"/>
            </w:pPr>
            <w:r>
              <w:rPr>
                <w:b w:val="0"/>
                <w:i w:val="0"/>
                <w:sz w:val="19"/>
              </w:rPr>
              <w:t>Emisiones de GEI</w:t>
            </w:r>
          </w:p>
        </w:tc>
        <w:tc>
          <w:tcPr>
            <w:tcW w:type="dxa" w:w="3429"/>
            <w:shd w:val="clear" w:color="auto" w:fill="F6F9FC"/>
            <w:vAlign w:val="top"/>
          </w:tcPr>
          <w:p>
            <w:pPr>
              <w:spacing w:before="20" w:after="20" w:line="252" w:lineRule="auto"/>
            </w:pPr>
            <w:r>
              <w:rPr>
                <w:b w:val="0"/>
                <w:i w:val="0"/>
                <w:sz w:val="19"/>
              </w:rPr>
              <w:t>Global Carbon Project, procesado por Our World in Data</w:t>
            </w:r>
          </w:p>
        </w:tc>
        <w:tc>
          <w:tcPr>
            <w:tcW w:type="dxa" w:w="1619"/>
            <w:shd w:val="clear" w:color="auto" w:fill="F6F9FC"/>
            <w:vAlign w:val="top"/>
          </w:tcPr>
          <w:p>
            <w:pPr>
              <w:spacing w:before="20" w:after="20" w:line="252" w:lineRule="auto"/>
            </w:pPr>
            <w:r>
              <w:rPr>
                <w:b w:val="0"/>
                <w:i w:val="0"/>
                <w:sz w:val="19"/>
              </w:rPr>
              <w:t>Serie anual larga</w:t>
            </w:r>
          </w:p>
        </w:tc>
        <w:tc>
          <w:tcPr>
            <w:tcW w:type="dxa" w:w="1333"/>
            <w:shd w:val="clear" w:color="auto" w:fill="F6F9FC"/>
            <w:vAlign w:val="top"/>
          </w:tcPr>
          <w:p>
            <w:pPr>
              <w:spacing w:before="20" w:after="20" w:line="252" w:lineRule="auto"/>
            </w:pPr>
            <w:r>
              <w:rPr>
                <w:b w:val="0"/>
                <w:i w:val="0"/>
                <w:sz w:val="19"/>
              </w:rPr>
              <w:t>Creative Commons BY</w:t>
            </w:r>
          </w:p>
        </w:tc>
        <w:tc>
          <w:tcPr>
            <w:tcW w:type="dxa" w:w="1333"/>
            <w:shd w:val="clear" w:color="auto" w:fill="F6F9FC"/>
            <w:vAlign w:val="top"/>
          </w:tcPr>
          <w:p>
            <w:pPr>
              <w:spacing w:before="20" w:after="20" w:line="252" w:lineRule="auto"/>
            </w:pPr>
            <w:r>
              <w:rPr>
                <w:b w:val="0"/>
                <w:i w:val="0"/>
                <w:sz w:val="19"/>
              </w:rPr>
              <w:t>CSV</w:t>
            </w:r>
          </w:p>
        </w:tc>
      </w:tr>
      <w:tr>
        <w:trPr>
          <w:cantSplit w:val="true"/>
        </w:trPr>
        <w:tc>
          <w:tcPr>
            <w:tcW w:type="dxa" w:w="1810"/>
            <w:vAlign w:val="top"/>
          </w:tcPr>
          <w:p>
            <w:pPr>
              <w:spacing w:before="20" w:after="20" w:line="252" w:lineRule="auto"/>
            </w:pPr>
            <w:r>
              <w:rPr>
                <w:b w:val="0"/>
                <w:i w:val="0"/>
                <w:sz w:val="19"/>
              </w:rPr>
              <w:t>Emisiones de CO₂ fósil</w:t>
            </w:r>
          </w:p>
        </w:tc>
        <w:tc>
          <w:tcPr>
            <w:tcW w:type="dxa" w:w="3429"/>
            <w:vAlign w:val="top"/>
          </w:tcPr>
          <w:p>
            <w:pPr>
              <w:spacing w:before="20" w:after="20" w:line="252" w:lineRule="auto"/>
            </w:pPr>
            <w:r>
              <w:rPr>
                <w:b w:val="0"/>
                <w:i w:val="0"/>
                <w:sz w:val="19"/>
              </w:rPr>
              <w:t>Global Carbon Project, procesado por Our World in Data</w:t>
            </w:r>
          </w:p>
        </w:tc>
        <w:tc>
          <w:tcPr>
            <w:tcW w:type="dxa" w:w="1619"/>
            <w:vAlign w:val="top"/>
          </w:tcPr>
          <w:p>
            <w:pPr>
              <w:spacing w:before="20" w:after="20" w:line="252" w:lineRule="auto"/>
            </w:pPr>
            <w:r>
              <w:rPr>
                <w:b w:val="0"/>
                <w:i w:val="0"/>
                <w:sz w:val="19"/>
              </w:rPr>
              <w:t>Serie anual larga</w:t>
            </w:r>
          </w:p>
        </w:tc>
        <w:tc>
          <w:tcPr>
            <w:tcW w:type="dxa" w:w="1333"/>
            <w:vAlign w:val="top"/>
          </w:tcPr>
          <w:p>
            <w:pPr>
              <w:spacing w:before="20" w:after="20" w:line="252" w:lineRule="auto"/>
            </w:pPr>
            <w:r>
              <w:rPr>
                <w:b w:val="0"/>
                <w:i w:val="0"/>
                <w:sz w:val="19"/>
              </w:rPr>
              <w:t>Creative Commons BY</w:t>
            </w:r>
          </w:p>
        </w:tc>
        <w:tc>
          <w:tcPr>
            <w:tcW w:type="dxa" w:w="1333"/>
            <w:vAlign w:val="top"/>
          </w:tcPr>
          <w:p>
            <w:pPr>
              <w:spacing w:before="20" w:after="20" w:line="252" w:lineRule="auto"/>
            </w:pPr>
            <w:r>
              <w:rPr>
                <w:b w:val="0"/>
                <w:i w:val="0"/>
                <w:sz w:val="19"/>
              </w:rPr>
              <w:t>CSV</w:t>
            </w:r>
          </w:p>
        </w:tc>
      </w:tr>
      <w:tr>
        <w:trPr>
          <w:cantSplit w:val="true"/>
        </w:trPr>
        <w:tc>
          <w:tcPr>
            <w:tcW w:type="dxa" w:w="1810"/>
            <w:shd w:val="clear" w:color="auto" w:fill="F6F9FC"/>
            <w:vAlign w:val="top"/>
          </w:tcPr>
          <w:p>
            <w:pPr>
              <w:spacing w:before="20" w:after="20" w:line="252" w:lineRule="auto"/>
            </w:pPr>
            <w:r>
              <w:rPr>
                <w:b w:val="0"/>
                <w:i w:val="0"/>
                <w:sz w:val="19"/>
              </w:rPr>
              <w:t>Inventario oficial de GEI</w:t>
            </w:r>
          </w:p>
        </w:tc>
        <w:tc>
          <w:tcPr>
            <w:tcW w:type="dxa" w:w="3429"/>
            <w:shd w:val="clear" w:color="auto" w:fill="F6F9FC"/>
            <w:vAlign w:val="top"/>
          </w:tcPr>
          <w:p>
            <w:pPr>
              <w:spacing w:before="20" w:after="20" w:line="252" w:lineRule="auto"/>
            </w:pPr>
            <w:r>
              <w:rPr>
                <w:b w:val="0"/>
                <w:i w:val="0"/>
                <w:sz w:val="19"/>
              </w:rPr>
              <w:t>Secretaría de Ambiente y Desarrollo Sostenible</w:t>
            </w:r>
          </w:p>
        </w:tc>
        <w:tc>
          <w:tcPr>
            <w:tcW w:type="dxa" w:w="1619"/>
            <w:shd w:val="clear" w:color="auto" w:fill="F6F9FC"/>
            <w:vAlign w:val="top"/>
          </w:tcPr>
          <w:p>
            <w:pPr>
              <w:spacing w:before="20" w:after="20" w:line="252" w:lineRule="auto"/>
            </w:pPr>
            <w:r>
              <w:rPr>
                <w:b w:val="0"/>
                <w:i w:val="0"/>
                <w:sz w:val="19"/>
              </w:rPr>
              <w:t>Cobertura reciente y acotada</w:t>
            </w:r>
          </w:p>
        </w:tc>
        <w:tc>
          <w:tcPr>
            <w:tcW w:type="dxa" w:w="1333"/>
            <w:shd w:val="clear" w:color="auto" w:fill="F6F9FC"/>
            <w:vAlign w:val="top"/>
          </w:tcPr>
          <w:p>
            <w:pPr>
              <w:spacing w:before="20" w:after="20" w:line="252" w:lineRule="auto"/>
            </w:pPr>
            <w:r>
              <w:rPr>
                <w:b w:val="0"/>
                <w:i w:val="0"/>
                <w:sz w:val="19"/>
              </w:rPr>
              <w:t>Uso público</w:t>
            </w:r>
          </w:p>
        </w:tc>
        <w:tc>
          <w:tcPr>
            <w:tcW w:type="dxa" w:w="1333"/>
            <w:shd w:val="clear" w:color="auto" w:fill="F6F9FC"/>
            <w:vAlign w:val="top"/>
          </w:tcPr>
          <w:p>
            <w:pPr>
              <w:spacing w:before="20" w:after="20" w:line="252" w:lineRule="auto"/>
            </w:pPr>
            <w:r>
              <w:rPr>
                <w:b w:val="0"/>
                <w:i w:val="0"/>
                <w:sz w:val="19"/>
              </w:rPr>
              <w:t>XLSX</w:t>
            </w:r>
          </w:p>
        </w:tc>
      </w:tr>
      <w:tr>
        <w:trPr>
          <w:cantSplit w:val="true"/>
        </w:trPr>
        <w:tc>
          <w:tcPr>
            <w:tcW w:type="dxa" w:w="1810"/>
            <w:vAlign w:val="top"/>
          </w:tcPr>
          <w:p>
            <w:pPr>
              <w:spacing w:before="20" w:after="20" w:line="252" w:lineRule="auto"/>
            </w:pPr>
            <w:r>
              <w:rPr>
                <w:b w:val="0"/>
                <w:i w:val="0"/>
                <w:sz w:val="19"/>
              </w:rPr>
              <w:t>PBI — crecimiento</w:t>
            </w:r>
          </w:p>
        </w:tc>
        <w:tc>
          <w:tcPr>
            <w:tcW w:type="dxa" w:w="3429"/>
            <w:vAlign w:val="top"/>
          </w:tcPr>
          <w:p>
            <w:pPr>
              <w:spacing w:before="20" w:after="20" w:line="252" w:lineRule="auto"/>
            </w:pPr>
            <w:r>
              <w:rPr>
                <w:b w:val="0"/>
                <w:i w:val="0"/>
                <w:sz w:val="19"/>
              </w:rPr>
              <w:t>Banco Mundial, indicador NY.GDP.MKTP.KD.ZG</w:t>
            </w:r>
          </w:p>
        </w:tc>
        <w:tc>
          <w:tcPr>
            <w:tcW w:type="dxa" w:w="1619"/>
            <w:vAlign w:val="top"/>
          </w:tcPr>
          <w:p>
            <w:pPr>
              <w:spacing w:before="20" w:after="20" w:line="252" w:lineRule="auto"/>
            </w:pPr>
            <w:r>
              <w:rPr>
                <w:b w:val="0"/>
                <w:i w:val="0"/>
                <w:sz w:val="19"/>
              </w:rPr>
              <w:t>Desde 1961</w:t>
            </w:r>
          </w:p>
        </w:tc>
        <w:tc>
          <w:tcPr>
            <w:tcW w:type="dxa" w:w="1333"/>
            <w:vAlign w:val="top"/>
          </w:tcPr>
          <w:p>
            <w:pPr>
              <w:spacing w:before="20" w:after="20" w:line="252" w:lineRule="auto"/>
            </w:pPr>
            <w:r>
              <w:rPr>
                <w:b w:val="0"/>
                <w:i w:val="0"/>
                <w:sz w:val="19"/>
              </w:rPr>
              <w:t>CC BY 4.0</w:t>
            </w:r>
          </w:p>
        </w:tc>
        <w:tc>
          <w:tcPr>
            <w:tcW w:type="dxa" w:w="1333"/>
            <w:vAlign w:val="top"/>
          </w:tcPr>
          <w:p>
            <w:pPr>
              <w:spacing w:before="20" w:after="20" w:line="252" w:lineRule="auto"/>
            </w:pPr>
            <w:r>
              <w:rPr>
                <w:b w:val="0"/>
                <w:i w:val="0"/>
                <w:sz w:val="19"/>
              </w:rPr>
              <w:t>CSV / API</w:t>
            </w:r>
          </w:p>
        </w:tc>
      </w:tr>
      <w:tr>
        <w:trPr>
          <w:cantSplit w:val="true"/>
        </w:trPr>
        <w:tc>
          <w:tcPr>
            <w:tcW w:type="dxa" w:w="1810"/>
            <w:shd w:val="clear" w:color="auto" w:fill="F6F9FC"/>
            <w:vAlign w:val="top"/>
          </w:tcPr>
          <w:p>
            <w:pPr>
              <w:spacing w:before="20" w:after="20" w:line="252" w:lineRule="auto"/>
            </w:pPr>
            <w:r>
              <w:rPr>
                <w:b w:val="0"/>
                <w:i w:val="0"/>
                <w:sz w:val="19"/>
              </w:rPr>
              <w:t>PBI per cápita</w:t>
            </w:r>
          </w:p>
        </w:tc>
        <w:tc>
          <w:tcPr>
            <w:tcW w:type="dxa" w:w="3429"/>
            <w:shd w:val="clear" w:color="auto" w:fill="F6F9FC"/>
            <w:vAlign w:val="top"/>
          </w:tcPr>
          <w:p>
            <w:pPr>
              <w:spacing w:before="20" w:after="20" w:line="252" w:lineRule="auto"/>
            </w:pPr>
            <w:r>
              <w:rPr>
                <w:b w:val="0"/>
                <w:i w:val="0"/>
                <w:sz w:val="19"/>
              </w:rPr>
              <w:t>Banco Mundial, indicador NY.GDP.PCAP.KD</w:t>
            </w:r>
          </w:p>
        </w:tc>
        <w:tc>
          <w:tcPr>
            <w:tcW w:type="dxa" w:w="1619"/>
            <w:shd w:val="clear" w:color="auto" w:fill="F6F9FC"/>
            <w:vAlign w:val="top"/>
          </w:tcPr>
          <w:p>
            <w:pPr>
              <w:spacing w:before="20" w:after="20" w:line="252" w:lineRule="auto"/>
            </w:pPr>
            <w:r>
              <w:rPr>
                <w:b w:val="0"/>
                <w:i w:val="0"/>
                <w:sz w:val="19"/>
              </w:rPr>
              <w:t>Desde 1961</w:t>
            </w:r>
          </w:p>
        </w:tc>
        <w:tc>
          <w:tcPr>
            <w:tcW w:type="dxa" w:w="1333"/>
            <w:shd w:val="clear" w:color="auto" w:fill="F6F9FC"/>
            <w:vAlign w:val="top"/>
          </w:tcPr>
          <w:p>
            <w:pPr>
              <w:spacing w:before="20" w:after="20" w:line="252" w:lineRule="auto"/>
            </w:pPr>
            <w:r>
              <w:rPr>
                <w:b w:val="0"/>
                <w:i w:val="0"/>
                <w:sz w:val="19"/>
              </w:rPr>
              <w:t>CC BY 4.0</w:t>
            </w:r>
          </w:p>
        </w:tc>
        <w:tc>
          <w:tcPr>
            <w:tcW w:type="dxa" w:w="1333"/>
            <w:shd w:val="clear" w:color="auto" w:fill="F6F9FC"/>
            <w:vAlign w:val="top"/>
          </w:tcPr>
          <w:p>
            <w:pPr>
              <w:spacing w:before="20" w:after="20" w:line="252" w:lineRule="auto"/>
            </w:pPr>
            <w:r>
              <w:rPr>
                <w:b w:val="0"/>
                <w:i w:val="0"/>
                <w:sz w:val="19"/>
              </w:rPr>
              <w:t>CSV / API</w:t>
            </w:r>
          </w:p>
        </w:tc>
      </w:tr>
      <w:tr>
        <w:trPr>
          <w:cantSplit w:val="true"/>
        </w:trPr>
        <w:tc>
          <w:tcPr>
            <w:tcW w:type="dxa" w:w="1810"/>
            <w:vAlign w:val="top"/>
          </w:tcPr>
          <w:p>
            <w:pPr>
              <w:spacing w:before="20" w:after="20" w:line="252" w:lineRule="auto"/>
            </w:pPr>
            <w:r>
              <w:rPr>
                <w:b w:val="0"/>
                <w:i w:val="0"/>
                <w:sz w:val="19"/>
              </w:rPr>
              <w:t>Clima provincial</w:t>
            </w:r>
          </w:p>
        </w:tc>
        <w:tc>
          <w:tcPr>
            <w:tcW w:type="dxa" w:w="3429"/>
            <w:vAlign w:val="top"/>
          </w:tcPr>
          <w:p>
            <w:pPr>
              <w:spacing w:before="20" w:after="20" w:line="252" w:lineRule="auto"/>
            </w:pPr>
            <w:r>
              <w:rPr>
                <w:b w:val="0"/>
                <w:i w:val="0"/>
                <w:sz w:val="19"/>
              </w:rPr>
              <w:t>NASA Langley Research Center, proyecto POWER</w:t>
            </w:r>
          </w:p>
        </w:tc>
        <w:tc>
          <w:tcPr>
            <w:tcW w:type="dxa" w:w="1619"/>
            <w:vAlign w:val="top"/>
          </w:tcPr>
          <w:p>
            <w:pPr>
              <w:spacing w:before="20" w:after="20" w:line="252" w:lineRule="auto"/>
            </w:pPr>
            <w:r>
              <w:rPr>
                <w:b w:val="0"/>
                <w:i w:val="0"/>
                <w:sz w:val="19"/>
              </w:rPr>
              <w:t>Desde 1981</w:t>
            </w:r>
          </w:p>
        </w:tc>
        <w:tc>
          <w:tcPr>
            <w:tcW w:type="dxa" w:w="1333"/>
            <w:vAlign w:val="top"/>
          </w:tcPr>
          <w:p>
            <w:pPr>
              <w:spacing w:before="20" w:after="20" w:line="252" w:lineRule="auto"/>
            </w:pPr>
            <w:r>
              <w:rPr>
                <w:b w:val="0"/>
                <w:i w:val="0"/>
                <w:sz w:val="19"/>
              </w:rPr>
              <w:t>Uso público</w:t>
            </w:r>
          </w:p>
        </w:tc>
        <w:tc>
          <w:tcPr>
            <w:tcW w:type="dxa" w:w="1333"/>
            <w:vAlign w:val="top"/>
          </w:tcPr>
          <w:p>
            <w:pPr>
              <w:spacing w:before="20" w:after="20" w:line="252" w:lineRule="auto"/>
            </w:pPr>
            <w:r>
              <w:rPr>
                <w:b w:val="0"/>
                <w:i w:val="0"/>
                <w:sz w:val="19"/>
              </w:rPr>
              <w:t>API / CSV</w:t>
            </w:r>
          </w:p>
        </w:tc>
      </w:tr>
      <w:tr>
        <w:trPr>
          <w:cantSplit w:val="true"/>
        </w:trPr>
        <w:tc>
          <w:tcPr>
            <w:tcW w:type="dxa" w:w="1810"/>
            <w:shd w:val="clear" w:color="auto" w:fill="F6F9FC"/>
            <w:vAlign w:val="top"/>
          </w:tcPr>
          <w:p>
            <w:pPr>
              <w:spacing w:before="20" w:after="20" w:line="252" w:lineRule="auto"/>
            </w:pPr>
            <w:r>
              <w:rPr>
                <w:b w:val="0"/>
                <w:i w:val="0"/>
                <w:sz w:val="19"/>
              </w:rPr>
              <w:t>Límites provinciales</w:t>
            </w:r>
          </w:p>
        </w:tc>
        <w:tc>
          <w:tcPr>
            <w:tcW w:type="dxa" w:w="3429"/>
            <w:shd w:val="clear" w:color="auto" w:fill="F6F9FC"/>
            <w:vAlign w:val="top"/>
          </w:tcPr>
          <w:p>
            <w:pPr>
              <w:spacing w:before="20" w:after="20" w:line="252" w:lineRule="auto"/>
            </w:pPr>
            <w:r>
              <w:rPr>
                <w:b w:val="0"/>
                <w:i w:val="0"/>
                <w:sz w:val="19"/>
              </w:rPr>
              <w:t>Instituto Geográfico Nacional</w:t>
            </w:r>
          </w:p>
        </w:tc>
        <w:tc>
          <w:tcPr>
            <w:tcW w:type="dxa" w:w="1619"/>
            <w:shd w:val="clear" w:color="auto" w:fill="F6F9FC"/>
            <w:vAlign w:val="top"/>
          </w:tcPr>
          <w:p>
            <w:pPr>
              <w:spacing w:before="20" w:after="20" w:line="252" w:lineRule="auto"/>
            </w:pPr>
            <w:r>
              <w:rPr>
                <w:b w:val="0"/>
                <w:i w:val="0"/>
                <w:sz w:val="19"/>
              </w:rPr>
              <w:t>Cartografía vigente</w:t>
            </w:r>
          </w:p>
        </w:tc>
        <w:tc>
          <w:tcPr>
            <w:tcW w:type="dxa" w:w="1333"/>
            <w:shd w:val="clear" w:color="auto" w:fill="F6F9FC"/>
            <w:vAlign w:val="top"/>
          </w:tcPr>
          <w:p>
            <w:pPr>
              <w:spacing w:before="20" w:after="20" w:line="252" w:lineRule="auto"/>
            </w:pPr>
            <w:r>
              <w:rPr>
                <w:b w:val="0"/>
                <w:i w:val="0"/>
                <w:sz w:val="19"/>
              </w:rPr>
              <w:t>Uso público</w:t>
            </w:r>
          </w:p>
        </w:tc>
        <w:tc>
          <w:tcPr>
            <w:tcW w:type="dxa" w:w="1333"/>
            <w:shd w:val="clear" w:color="auto" w:fill="F6F9FC"/>
            <w:vAlign w:val="top"/>
          </w:tcPr>
          <w:p>
            <w:pPr>
              <w:spacing w:before="20" w:after="20" w:line="252" w:lineRule="auto"/>
            </w:pPr>
            <w:r>
              <w:rPr>
                <w:b w:val="0"/>
                <w:i w:val="0"/>
                <w:sz w:val="19"/>
              </w:rPr>
              <w:t>Shapefile</w:t>
            </w:r>
          </w:p>
        </w:tc>
      </w:tr>
    </w:tbl>
    <w:p>
      <w:pPr>
        <w:spacing w:after="80"/>
      </w:pPr>
    </w:p>
    <w:p>
      <w:pPr>
        <w:pStyle w:val="Heading2"/>
      </w:pPr>
      <w:r>
        <w:t>5.3 Procedimiento técnico de ingesta</w:t>
      </w:r>
    </w:p>
    <w:p>
      <w:r>
        <w:rPr>
          <w:b w:val="0"/>
          <w:i w:val="0"/>
        </w:rPr>
        <w:t>La ingesta se implementa como código, no como operación manual, para que pueda repetirse. Para cada archivo el procedimiento es el siguiente:</w:t>
      </w:r>
    </w:p>
    <w:p>
      <w:pPr>
        <w:pStyle w:val="ListBullet"/>
        <w:spacing w:after="40"/>
        <w:ind w:left="397"/>
      </w:pPr>
      <w:r>
        <w:rPr>
          <w:b w:val="0"/>
          <w:i w:val="0"/>
        </w:rPr>
        <w:t>Lectura con el lector adecuado al formato, declarando explícitamente la codificación y el separador cuando el archivo no los define.</w:t>
      </w:r>
    </w:p>
    <w:p>
      <w:pPr>
        <w:pStyle w:val="ListBullet"/>
        <w:spacing w:after="40"/>
        <w:ind w:left="397"/>
      </w:pPr>
      <w:r>
        <w:rPr>
          <w:b w:val="0"/>
          <w:i w:val="0"/>
        </w:rPr>
        <w:t>Renombrado de las columnas a nombres normalizados en minúsculas, sin tildes ni espacios, y elaboración de un diccionario que conserve el nombre original.</w:t>
      </w:r>
    </w:p>
    <w:p>
      <w:pPr>
        <w:pStyle w:val="ListBullet"/>
        <w:spacing w:after="40"/>
        <w:ind w:left="397"/>
      </w:pPr>
      <w:r>
        <w:rPr>
          <w:b w:val="0"/>
          <w:i w:val="0"/>
        </w:rPr>
        <w:t>Conversión de tipos: las columnas de año a entero, las numéricas a punto flotante, con registro de las filas que no puedan convertirse.</w:t>
      </w:r>
    </w:p>
    <w:p>
      <w:pPr>
        <w:pStyle w:val="ListBullet"/>
        <w:spacing w:after="40"/>
        <w:ind w:left="397"/>
      </w:pPr>
      <w:r>
        <w:rPr>
          <w:b w:val="0"/>
          <w:i w:val="0"/>
        </w:rPr>
        <w:t>Filtrado del territorio de interés cuando el archivo incluye más de un país o más de una jurisdicción.</w:t>
      </w:r>
    </w:p>
    <w:p>
      <w:pPr>
        <w:pStyle w:val="ListBullet"/>
        <w:spacing w:after="40"/>
        <w:ind w:left="397"/>
      </w:pPr>
      <w:r>
        <w:rPr>
          <w:b w:val="0"/>
          <w:i w:val="0"/>
        </w:rPr>
        <w:t>Reindexación por año, dejando constancia de los años ausentes en lugar de rellenarlos a ciegas.</w:t>
      </w:r>
    </w:p>
    <w:p>
      <w:pPr>
        <w:pStyle w:val="Heading2"/>
      </w:pPr>
      <w:r>
        <w:t>5.4 Verificación y trazabilidad</w:t>
      </w:r>
    </w:p>
    <w:p>
      <w:r>
        <w:rPr>
          <w:b w:val="0"/>
          <w:i w:val="0"/>
        </w:rPr>
        <w:t>Cada archivo descargado genera una ficha de metadatos en formato tabular con las columnas siguientes, que constituyen el respaldo documental de la recolección:</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4759"/>
        <w:gridCol w:w="4759"/>
      </w:tblGrid>
      <w:tr>
        <w:trPr>
          <w:cantSplit w:val="true"/>
          <w:tblHeader w:val="true"/>
        </w:trPr>
        <w:tc>
          <w:tcPr>
            <w:tcW w:type="dxa" w:w="2857"/>
            <w:shd w:val="clear" w:color="auto" w:fill="1E3A5F"/>
            <w:vAlign w:val="center"/>
          </w:tcPr>
          <w:p>
            <w:pPr>
              <w:spacing w:before="40" w:after="40"/>
            </w:pPr>
            <w:r>
              <w:rPr>
                <w:b/>
                <w:i w:val="0"/>
                <w:color w:val="FFFFFF"/>
                <w:sz w:val="19"/>
              </w:rPr>
              <w:t>Campo de la ficha</w:t>
            </w:r>
          </w:p>
        </w:tc>
        <w:tc>
          <w:tcPr>
            <w:tcW w:type="dxa" w:w="6667"/>
            <w:shd w:val="clear" w:color="auto" w:fill="1E3A5F"/>
            <w:vAlign w:val="center"/>
          </w:tcPr>
          <w:p>
            <w:pPr>
              <w:spacing w:before="40" w:after="40"/>
            </w:pPr>
            <w:r>
              <w:rPr>
                <w:b/>
                <w:i w:val="0"/>
                <w:color w:val="FFFFFF"/>
                <w:sz w:val="19"/>
              </w:rPr>
              <w:t>Contenido</w:t>
            </w:r>
          </w:p>
        </w:tc>
      </w:tr>
      <w:tr>
        <w:trPr>
          <w:cantSplit w:val="true"/>
        </w:trPr>
        <w:tc>
          <w:tcPr>
            <w:tcW w:type="dxa" w:w="2857"/>
            <w:vAlign w:val="top"/>
          </w:tcPr>
          <w:p>
            <w:pPr>
              <w:spacing w:before="20" w:after="20" w:line="252" w:lineRule="auto"/>
            </w:pPr>
            <w:r>
              <w:rPr>
                <w:b w:val="0"/>
                <w:i w:val="0"/>
                <w:sz w:val="19"/>
              </w:rPr>
              <w:t>Organismo</w:t>
            </w:r>
          </w:p>
        </w:tc>
        <w:tc>
          <w:tcPr>
            <w:tcW w:type="dxa" w:w="6667"/>
            <w:vAlign w:val="top"/>
          </w:tcPr>
          <w:p>
            <w:pPr>
              <w:spacing w:before="20" w:after="20" w:line="252" w:lineRule="auto"/>
            </w:pPr>
            <w:r>
              <w:rPr>
                <w:b w:val="0"/>
                <w:i w:val="0"/>
                <w:sz w:val="19"/>
              </w:rPr>
              <w:t>Entidad que publica el dato</w:t>
            </w:r>
          </w:p>
        </w:tc>
      </w:tr>
      <w:tr>
        <w:trPr>
          <w:cantSplit w:val="true"/>
        </w:trPr>
        <w:tc>
          <w:tcPr>
            <w:tcW w:type="dxa" w:w="2857"/>
            <w:shd w:val="clear" w:color="auto" w:fill="F6F9FC"/>
            <w:vAlign w:val="top"/>
          </w:tcPr>
          <w:p>
            <w:pPr>
              <w:spacing w:before="20" w:after="20" w:line="252" w:lineRule="auto"/>
            </w:pPr>
            <w:r>
              <w:rPr>
                <w:b w:val="0"/>
                <w:i w:val="0"/>
                <w:sz w:val="19"/>
              </w:rPr>
              <w:t>Documento</w:t>
            </w:r>
          </w:p>
        </w:tc>
        <w:tc>
          <w:tcPr>
            <w:tcW w:type="dxa" w:w="6667"/>
            <w:shd w:val="clear" w:color="auto" w:fill="F6F9FC"/>
            <w:vAlign w:val="top"/>
          </w:tcPr>
          <w:p>
            <w:pPr>
              <w:spacing w:before="20" w:after="20" w:line="252" w:lineRule="auto"/>
            </w:pPr>
            <w:r>
              <w:rPr>
                <w:b w:val="0"/>
                <w:i w:val="0"/>
                <w:sz w:val="19"/>
              </w:rPr>
              <w:t>Nombre del archivo o del conjunto de datos</w:t>
            </w:r>
          </w:p>
        </w:tc>
      </w:tr>
      <w:tr>
        <w:trPr>
          <w:cantSplit w:val="true"/>
        </w:trPr>
        <w:tc>
          <w:tcPr>
            <w:tcW w:type="dxa" w:w="2857"/>
            <w:vAlign w:val="top"/>
          </w:tcPr>
          <w:p>
            <w:pPr>
              <w:spacing w:before="20" w:after="20" w:line="252" w:lineRule="auto"/>
            </w:pPr>
            <w:r>
              <w:rPr>
                <w:b w:val="0"/>
                <w:i w:val="0"/>
                <w:sz w:val="19"/>
              </w:rPr>
              <w:t>Autor</w:t>
            </w:r>
          </w:p>
        </w:tc>
        <w:tc>
          <w:tcPr>
            <w:tcW w:type="dxa" w:w="6667"/>
            <w:vAlign w:val="top"/>
          </w:tcPr>
          <w:p>
            <w:pPr>
              <w:spacing w:before="20" w:after="20" w:line="252" w:lineRule="auto"/>
            </w:pPr>
            <w:r>
              <w:rPr>
                <w:b w:val="0"/>
                <w:i w:val="0"/>
                <w:sz w:val="19"/>
              </w:rPr>
              <w:t>Persona u organismo responsable de la publicación</w:t>
            </w:r>
          </w:p>
        </w:tc>
      </w:tr>
      <w:tr>
        <w:trPr>
          <w:cantSplit w:val="true"/>
        </w:trPr>
        <w:tc>
          <w:tcPr>
            <w:tcW w:type="dxa" w:w="2857"/>
            <w:shd w:val="clear" w:color="auto" w:fill="F6F9FC"/>
            <w:vAlign w:val="top"/>
          </w:tcPr>
          <w:p>
            <w:pPr>
              <w:spacing w:before="20" w:after="20" w:line="252" w:lineRule="auto"/>
            </w:pPr>
            <w:r>
              <w:rPr>
                <w:b w:val="0"/>
                <w:i w:val="0"/>
                <w:sz w:val="19"/>
              </w:rPr>
              <w:t>URL</w:t>
            </w:r>
          </w:p>
        </w:tc>
        <w:tc>
          <w:tcPr>
            <w:tcW w:type="dxa" w:w="6667"/>
            <w:shd w:val="clear" w:color="auto" w:fill="F6F9FC"/>
            <w:vAlign w:val="top"/>
          </w:tcPr>
          <w:p>
            <w:pPr>
              <w:spacing w:before="20" w:after="20" w:line="252" w:lineRule="auto"/>
            </w:pPr>
            <w:r>
              <w:rPr>
                <w:b w:val="0"/>
                <w:i w:val="0"/>
                <w:sz w:val="19"/>
              </w:rPr>
              <w:t>Dirección de origen, con la fecha de consulta</w:t>
            </w:r>
          </w:p>
        </w:tc>
      </w:tr>
      <w:tr>
        <w:trPr>
          <w:cantSplit w:val="true"/>
        </w:trPr>
        <w:tc>
          <w:tcPr>
            <w:tcW w:type="dxa" w:w="2857"/>
            <w:vAlign w:val="top"/>
          </w:tcPr>
          <w:p>
            <w:pPr>
              <w:spacing w:before="20" w:after="20" w:line="252" w:lineRule="auto"/>
            </w:pPr>
            <w:r>
              <w:rPr>
                <w:b w:val="0"/>
                <w:i w:val="0"/>
                <w:sz w:val="19"/>
              </w:rPr>
              <w:t>Fecha de descarga</w:t>
            </w:r>
          </w:p>
        </w:tc>
        <w:tc>
          <w:tcPr>
            <w:tcW w:type="dxa" w:w="6667"/>
            <w:vAlign w:val="top"/>
          </w:tcPr>
          <w:p>
            <w:pPr>
              <w:spacing w:before="20" w:after="20" w:line="252" w:lineRule="auto"/>
            </w:pPr>
            <w:r>
              <w:rPr>
                <w:b w:val="0"/>
                <w:i w:val="0"/>
                <w:sz w:val="19"/>
              </w:rPr>
              <w:t>Momento en que se obtuvo el archivo</w:t>
            </w:r>
          </w:p>
        </w:tc>
      </w:tr>
      <w:tr>
        <w:trPr>
          <w:cantSplit w:val="true"/>
        </w:trPr>
        <w:tc>
          <w:tcPr>
            <w:tcW w:type="dxa" w:w="2857"/>
            <w:shd w:val="clear" w:color="auto" w:fill="F6F9FC"/>
            <w:vAlign w:val="top"/>
          </w:tcPr>
          <w:p>
            <w:pPr>
              <w:spacing w:before="20" w:after="20" w:line="252" w:lineRule="auto"/>
            </w:pPr>
            <w:r>
              <w:rPr>
                <w:b w:val="0"/>
                <w:i w:val="0"/>
                <w:sz w:val="19"/>
              </w:rPr>
              <w:t>Licencia</w:t>
            </w:r>
          </w:p>
        </w:tc>
        <w:tc>
          <w:tcPr>
            <w:tcW w:type="dxa" w:w="6667"/>
            <w:shd w:val="clear" w:color="auto" w:fill="F6F9FC"/>
            <w:vAlign w:val="top"/>
          </w:tcPr>
          <w:p>
            <w:pPr>
              <w:spacing w:before="20" w:after="20" w:line="252" w:lineRule="auto"/>
            </w:pPr>
            <w:r>
              <w:rPr>
                <w:b w:val="0"/>
                <w:i w:val="0"/>
                <w:sz w:val="19"/>
              </w:rPr>
              <w:t>Condiciones de uso declaradas por el organismo</w:t>
            </w:r>
          </w:p>
        </w:tc>
      </w:tr>
      <w:tr>
        <w:trPr>
          <w:cantSplit w:val="true"/>
        </w:trPr>
        <w:tc>
          <w:tcPr>
            <w:tcW w:type="dxa" w:w="2857"/>
            <w:vAlign w:val="top"/>
          </w:tcPr>
          <w:p>
            <w:pPr>
              <w:spacing w:before="20" w:after="20" w:line="252" w:lineRule="auto"/>
            </w:pPr>
            <w:r>
              <w:rPr>
                <w:b w:val="0"/>
                <w:i w:val="0"/>
                <w:sz w:val="19"/>
              </w:rPr>
              <w:t>Cobertura</w:t>
            </w:r>
          </w:p>
        </w:tc>
        <w:tc>
          <w:tcPr>
            <w:tcW w:type="dxa" w:w="6667"/>
            <w:vAlign w:val="top"/>
          </w:tcPr>
          <w:p>
            <w:pPr>
              <w:spacing w:before="20" w:after="20" w:line="252" w:lineRule="auto"/>
            </w:pPr>
            <w:r>
              <w:rPr>
                <w:b w:val="0"/>
                <w:i w:val="0"/>
                <w:sz w:val="19"/>
              </w:rPr>
              <w:t>Rango temporal y número de registros</w:t>
            </w:r>
          </w:p>
        </w:tc>
      </w:tr>
      <w:tr>
        <w:trPr>
          <w:cantSplit w:val="true"/>
        </w:trPr>
        <w:tc>
          <w:tcPr>
            <w:tcW w:type="dxa" w:w="2857"/>
            <w:shd w:val="clear" w:color="auto" w:fill="F6F9FC"/>
            <w:vAlign w:val="top"/>
          </w:tcPr>
          <w:p>
            <w:pPr>
              <w:spacing w:before="20" w:after="20" w:line="252" w:lineRule="auto"/>
            </w:pPr>
            <w:r>
              <w:rPr>
                <w:b w:val="0"/>
                <w:i w:val="0"/>
                <w:sz w:val="19"/>
              </w:rPr>
              <w:t>Formato y tamaño</w:t>
            </w:r>
          </w:p>
        </w:tc>
        <w:tc>
          <w:tcPr>
            <w:tcW w:type="dxa" w:w="6667"/>
            <w:shd w:val="clear" w:color="auto" w:fill="F6F9FC"/>
            <w:vAlign w:val="top"/>
          </w:tcPr>
          <w:p>
            <w:pPr>
              <w:spacing w:before="20" w:after="20" w:line="252" w:lineRule="auto"/>
            </w:pPr>
            <w:r>
              <w:rPr>
                <w:b w:val="0"/>
                <w:i w:val="0"/>
                <w:sz w:val="19"/>
              </w:rPr>
              <w:t>Tipo de archivo y dimensiones</w:t>
            </w:r>
          </w:p>
        </w:tc>
      </w:tr>
      <w:tr>
        <w:trPr>
          <w:cantSplit w:val="true"/>
        </w:trPr>
        <w:tc>
          <w:tcPr>
            <w:tcW w:type="dxa" w:w="2857"/>
            <w:vAlign w:val="top"/>
          </w:tcPr>
          <w:p>
            <w:pPr>
              <w:spacing w:before="20" w:after="20" w:line="252" w:lineRule="auto"/>
            </w:pPr>
            <w:r>
              <w:rPr>
                <w:b w:val="0"/>
                <w:i w:val="0"/>
                <w:sz w:val="19"/>
              </w:rPr>
              <w:t>Observaciones</w:t>
            </w:r>
          </w:p>
        </w:tc>
        <w:tc>
          <w:tcPr>
            <w:tcW w:type="dxa" w:w="6667"/>
            <w:vAlign w:val="top"/>
          </w:tcPr>
          <w:p>
            <w:pPr>
              <w:spacing w:before="20" w:after="20" w:line="252" w:lineRule="auto"/>
            </w:pPr>
            <w:r>
              <w:rPr>
                <w:b w:val="0"/>
                <w:i w:val="0"/>
                <w:sz w:val="19"/>
              </w:rPr>
              <w:t>Advertencias metodológicas, cambios de definición o saltos en la serie</w:t>
            </w:r>
          </w:p>
        </w:tc>
      </w:tr>
    </w:tbl>
    <w:p>
      <w:pPr>
        <w:spacing w:after="80"/>
      </w:pPr>
    </w:p>
    <w:p>
      <w:pPr>
        <w:pStyle w:val="Heading2"/>
      </w:pPr>
      <w:r>
        <w:t>5.5 Métricas a obtener y procedimientos de cálculo</w:t>
      </w:r>
    </w:p>
    <w:p>
      <w:r>
        <w:rPr>
          <w:b w:val="0"/>
          <w:i w:val="0"/>
        </w:rPr>
        <w:t>La tabla siguiente vincula cada métrica con el objetivo que la requiere y con el procedimiento concreto que la producirá. Es el nexo entre los objetivos del proyecto y las métricas que persiguen.</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1524"/>
            <w:shd w:val="clear" w:color="auto" w:fill="1E3A5F"/>
            <w:vAlign w:val="center"/>
          </w:tcPr>
          <w:p>
            <w:pPr>
              <w:spacing w:before="40" w:after="40"/>
            </w:pPr>
            <w:r>
              <w:rPr>
                <w:b/>
                <w:i w:val="0"/>
                <w:color w:val="FFFFFF"/>
                <w:sz w:val="19"/>
              </w:rPr>
              <w:t>Métrica</w:t>
            </w:r>
          </w:p>
        </w:tc>
        <w:tc>
          <w:tcPr>
            <w:tcW w:type="dxa" w:w="762"/>
            <w:shd w:val="clear" w:color="auto" w:fill="1E3A5F"/>
            <w:vAlign w:val="center"/>
          </w:tcPr>
          <w:p>
            <w:pPr>
              <w:spacing w:before="40" w:after="40"/>
            </w:pPr>
            <w:r>
              <w:rPr>
                <w:b/>
                <w:i w:val="0"/>
                <w:color w:val="FFFFFF"/>
                <w:sz w:val="19"/>
              </w:rPr>
              <w:t>Objetivo</w:t>
            </w:r>
          </w:p>
        </w:tc>
        <w:tc>
          <w:tcPr>
            <w:tcW w:type="dxa" w:w="4000"/>
            <w:shd w:val="clear" w:color="auto" w:fill="1E3A5F"/>
            <w:vAlign w:val="center"/>
          </w:tcPr>
          <w:p>
            <w:pPr>
              <w:spacing w:before="40" w:after="40"/>
            </w:pPr>
            <w:r>
              <w:rPr>
                <w:b/>
                <w:i w:val="0"/>
                <w:color w:val="FFFFFF"/>
                <w:sz w:val="19"/>
              </w:rPr>
              <w:t>Procedimiento de cálculo</w:t>
            </w:r>
          </w:p>
        </w:tc>
        <w:tc>
          <w:tcPr>
            <w:tcW w:type="dxa" w:w="3238"/>
            <w:shd w:val="clear" w:color="auto" w:fill="1E3A5F"/>
            <w:vAlign w:val="center"/>
          </w:tcPr>
          <w:p>
            <w:pPr>
              <w:spacing w:before="40" w:after="40"/>
            </w:pPr>
            <w:r>
              <w:rPr>
                <w:b/>
                <w:i w:val="0"/>
                <w:color w:val="FFFFFF"/>
                <w:sz w:val="19"/>
              </w:rPr>
              <w:t>Cómo se lee el resultado</w:t>
            </w:r>
          </w:p>
        </w:tc>
      </w:tr>
      <w:tr>
        <w:trPr>
          <w:cantSplit w:val="true"/>
        </w:trPr>
        <w:tc>
          <w:tcPr>
            <w:tcW w:type="dxa" w:w="1524"/>
            <w:vAlign w:val="top"/>
          </w:tcPr>
          <w:p>
            <w:pPr>
              <w:spacing w:before="20" w:after="20" w:line="252" w:lineRule="auto"/>
            </w:pPr>
            <w:r>
              <w:rPr>
                <w:b w:val="0"/>
                <w:i w:val="0"/>
                <w:sz w:val="19"/>
              </w:rPr>
              <w:t>Tendencia anual</w:t>
            </w:r>
          </w:p>
        </w:tc>
        <w:tc>
          <w:tcPr>
            <w:tcW w:type="dxa" w:w="762"/>
            <w:vAlign w:val="top"/>
          </w:tcPr>
          <w:p>
            <w:pPr>
              <w:spacing w:before="20" w:after="20" w:line="252" w:lineRule="auto"/>
            </w:pPr>
            <w:r>
              <w:rPr>
                <w:b w:val="0"/>
                <w:i w:val="0"/>
                <w:sz w:val="19"/>
              </w:rPr>
              <w:t>1</w:t>
            </w:r>
          </w:p>
        </w:tc>
        <w:tc>
          <w:tcPr>
            <w:tcW w:type="dxa" w:w="4000"/>
            <w:vAlign w:val="top"/>
          </w:tcPr>
          <w:p>
            <w:pPr>
              <w:spacing w:before="20" w:after="20" w:line="252" w:lineRule="auto"/>
            </w:pPr>
            <w:r>
              <w:rPr>
                <w:b w:val="0"/>
                <w:i w:val="0"/>
                <w:sz w:val="19"/>
              </w:rPr>
              <w:t>Regresión lineal simple de la variable sobre el año; se reportan coeficiente, error estándar, t y p-valor</w:t>
            </w:r>
          </w:p>
        </w:tc>
        <w:tc>
          <w:tcPr>
            <w:tcW w:type="dxa" w:w="3238"/>
            <w:vAlign w:val="top"/>
          </w:tcPr>
          <w:p>
            <w:pPr>
              <w:spacing w:before="20" w:after="20" w:line="252" w:lineRule="auto"/>
            </w:pPr>
            <w:r>
              <w:rPr>
                <w:b w:val="0"/>
                <w:i w:val="0"/>
                <w:sz w:val="19"/>
              </w:rPr>
              <w:t>El coeficiente indica cuánto cambia la variable por año; el p-valor, si ese cambio es distinguible del azar</w:t>
            </w:r>
          </w:p>
        </w:tc>
      </w:tr>
      <w:tr>
        <w:trPr>
          <w:cantSplit w:val="true"/>
        </w:trPr>
        <w:tc>
          <w:tcPr>
            <w:tcW w:type="dxa" w:w="1524"/>
            <w:shd w:val="clear" w:color="auto" w:fill="F6F9FC"/>
            <w:vAlign w:val="top"/>
          </w:tcPr>
          <w:p>
            <w:pPr>
              <w:spacing w:before="20" w:after="20" w:line="252" w:lineRule="auto"/>
            </w:pPr>
            <w:r>
              <w:rPr>
                <w:b w:val="0"/>
                <w:i w:val="0"/>
                <w:sz w:val="19"/>
              </w:rPr>
              <w:t>Valores atípicos</w:t>
            </w:r>
          </w:p>
        </w:tc>
        <w:tc>
          <w:tcPr>
            <w:tcW w:type="dxa" w:w="762"/>
            <w:shd w:val="clear" w:color="auto" w:fill="F6F9FC"/>
            <w:vAlign w:val="top"/>
          </w:tcPr>
          <w:p>
            <w:pPr>
              <w:spacing w:before="20" w:after="20" w:line="252" w:lineRule="auto"/>
            </w:pPr>
            <w:r>
              <w:rPr>
                <w:b w:val="0"/>
                <w:i w:val="0"/>
                <w:sz w:val="19"/>
              </w:rPr>
              <w:t>1</w:t>
            </w:r>
          </w:p>
        </w:tc>
        <w:tc>
          <w:tcPr>
            <w:tcW w:type="dxa" w:w="4000"/>
            <w:shd w:val="clear" w:color="auto" w:fill="F6F9FC"/>
            <w:vAlign w:val="top"/>
          </w:tcPr>
          <w:p>
            <w:pPr>
              <w:spacing w:before="20" w:after="20" w:line="252" w:lineRule="auto"/>
            </w:pPr>
            <w:r>
              <w:rPr>
                <w:b w:val="0"/>
                <w:i w:val="0"/>
                <w:sz w:val="19"/>
              </w:rPr>
              <w:t>Criterio del rango intercuartílico: un valor es atípico si cae por debajo de Q1 − 1,5 × RIC o por encima de Q3 + 1,5 × RIC</w:t>
            </w:r>
          </w:p>
        </w:tc>
        <w:tc>
          <w:tcPr>
            <w:tcW w:type="dxa" w:w="3238"/>
            <w:shd w:val="clear" w:color="auto" w:fill="F6F9FC"/>
            <w:vAlign w:val="top"/>
          </w:tcPr>
          <w:p>
            <w:pPr>
              <w:spacing w:before="20" w:after="20" w:line="252" w:lineRule="auto"/>
            </w:pPr>
            <w:r>
              <w:rPr>
                <w:b w:val="0"/>
                <w:i w:val="0"/>
                <w:sz w:val="19"/>
              </w:rPr>
              <w:t>Identifica años extremos que requieren explicación o revisión de la fuente</w:t>
            </w:r>
          </w:p>
        </w:tc>
      </w:tr>
      <w:tr>
        <w:trPr>
          <w:cantSplit w:val="true"/>
        </w:trPr>
        <w:tc>
          <w:tcPr>
            <w:tcW w:type="dxa" w:w="1524"/>
            <w:vAlign w:val="top"/>
          </w:tcPr>
          <w:p>
            <w:pPr>
              <w:spacing w:before="20" w:after="20" w:line="252" w:lineRule="auto"/>
            </w:pPr>
            <w:r>
              <w:rPr>
                <w:b w:val="0"/>
                <w:i w:val="0"/>
                <w:sz w:val="19"/>
              </w:rPr>
              <w:t>Correlación de Pearson</w:t>
            </w:r>
          </w:p>
        </w:tc>
        <w:tc>
          <w:tcPr>
            <w:tcW w:type="dxa" w:w="762"/>
            <w:vAlign w:val="top"/>
          </w:tcPr>
          <w:p>
            <w:pPr>
              <w:spacing w:before="20" w:after="20" w:line="252" w:lineRule="auto"/>
            </w:pPr>
            <w:r>
              <w:rPr>
                <w:b w:val="0"/>
                <w:i w:val="0"/>
                <w:sz w:val="19"/>
              </w:rPr>
              <w:t>2 y 3</w:t>
            </w:r>
          </w:p>
        </w:tc>
        <w:tc>
          <w:tcPr>
            <w:tcW w:type="dxa" w:w="4000"/>
            <w:vAlign w:val="top"/>
          </w:tcPr>
          <w:p>
            <w:pPr>
              <w:spacing w:before="20" w:after="20" w:line="252" w:lineRule="auto"/>
            </w:pPr>
            <w:r>
              <w:rPr>
                <w:b w:val="0"/>
                <w:i w:val="0"/>
                <w:sz w:val="19"/>
              </w:rPr>
              <w:t>Coeficiente r entre cada par de variables, con su p-valor y su tamaño de efecto</w:t>
            </w:r>
          </w:p>
        </w:tc>
        <w:tc>
          <w:tcPr>
            <w:tcW w:type="dxa" w:w="3238"/>
            <w:vAlign w:val="top"/>
          </w:tcPr>
          <w:p>
            <w:pPr>
              <w:spacing w:before="20" w:after="20" w:line="252" w:lineRule="auto"/>
            </w:pPr>
            <w:r>
              <w:rPr>
                <w:b w:val="0"/>
                <w:i w:val="0"/>
                <w:sz w:val="19"/>
              </w:rPr>
              <w:t>r cercano a cero indica independencia lineal; |r| cercano a uno indica asociación fuerte</w:t>
            </w:r>
          </w:p>
        </w:tc>
      </w:tr>
      <w:tr>
        <w:trPr>
          <w:cantSplit w:val="true"/>
        </w:trPr>
        <w:tc>
          <w:tcPr>
            <w:tcW w:type="dxa" w:w="1524"/>
            <w:shd w:val="clear" w:color="auto" w:fill="F6F9FC"/>
            <w:vAlign w:val="top"/>
          </w:tcPr>
          <w:p>
            <w:pPr>
              <w:spacing w:before="20" w:after="20" w:line="252" w:lineRule="auto"/>
            </w:pPr>
            <w:r>
              <w:rPr>
                <w:b w:val="0"/>
                <w:i w:val="0"/>
                <w:sz w:val="19"/>
              </w:rPr>
              <w:t>Correlación de residuos</w:t>
            </w:r>
          </w:p>
        </w:tc>
        <w:tc>
          <w:tcPr>
            <w:tcW w:type="dxa" w:w="762"/>
            <w:shd w:val="clear" w:color="auto" w:fill="F6F9FC"/>
            <w:vAlign w:val="top"/>
          </w:tcPr>
          <w:p>
            <w:pPr>
              <w:spacing w:before="20" w:after="20" w:line="252" w:lineRule="auto"/>
            </w:pPr>
            <w:r>
              <w:rPr>
                <w:b w:val="0"/>
                <w:i w:val="0"/>
                <w:sz w:val="19"/>
              </w:rPr>
              <w:t>2</w:t>
            </w:r>
          </w:p>
        </w:tc>
        <w:tc>
          <w:tcPr>
            <w:tcW w:type="dxa" w:w="4000"/>
            <w:shd w:val="clear" w:color="auto" w:fill="F6F9FC"/>
            <w:vAlign w:val="top"/>
          </w:tcPr>
          <w:p>
            <w:pPr>
              <w:spacing w:before="20" w:after="20" w:line="252" w:lineRule="auto"/>
            </w:pPr>
            <w:r>
              <w:rPr>
                <w:b w:val="0"/>
                <w:i w:val="0"/>
                <w:sz w:val="19"/>
              </w:rPr>
              <w:t>Regresión de cada serie sobre el año y correlación entre los residuos obtenidos</w:t>
            </w:r>
          </w:p>
        </w:tc>
        <w:tc>
          <w:tcPr>
            <w:tcW w:type="dxa" w:w="3238"/>
            <w:shd w:val="clear" w:color="auto" w:fill="F6F9FC"/>
            <w:vAlign w:val="top"/>
          </w:tcPr>
          <w:p>
            <w:pPr>
              <w:spacing w:before="20" w:after="20" w:line="252" w:lineRule="auto"/>
            </w:pPr>
            <w:r>
              <w:rPr>
                <w:b w:val="0"/>
                <w:i w:val="0"/>
                <w:sz w:val="19"/>
              </w:rPr>
              <w:t>Si la correlación de residuos es nula, la asociación en niveles es espuria</w:t>
            </w:r>
          </w:p>
        </w:tc>
      </w:tr>
      <w:tr>
        <w:trPr>
          <w:cantSplit w:val="true"/>
        </w:trPr>
        <w:tc>
          <w:tcPr>
            <w:tcW w:type="dxa" w:w="1524"/>
            <w:vAlign w:val="top"/>
          </w:tcPr>
          <w:p>
            <w:pPr>
              <w:spacing w:before="20" w:after="20" w:line="252" w:lineRule="auto"/>
            </w:pPr>
            <w:r>
              <w:rPr>
                <w:b w:val="0"/>
                <w:i w:val="0"/>
                <w:sz w:val="19"/>
              </w:rPr>
              <w:t>VIF</w:t>
            </w:r>
          </w:p>
        </w:tc>
        <w:tc>
          <w:tcPr>
            <w:tcW w:type="dxa" w:w="762"/>
            <w:vAlign w:val="top"/>
          </w:tcPr>
          <w:p>
            <w:pPr>
              <w:spacing w:before="20" w:after="20" w:line="252" w:lineRule="auto"/>
            </w:pPr>
            <w:r>
              <w:rPr>
                <w:b w:val="0"/>
                <w:i w:val="0"/>
                <w:sz w:val="19"/>
              </w:rPr>
              <w:t>3</w:t>
            </w:r>
          </w:p>
        </w:tc>
        <w:tc>
          <w:tcPr>
            <w:tcW w:type="dxa" w:w="4000"/>
            <w:vAlign w:val="top"/>
          </w:tcPr>
          <w:p>
            <w:pPr>
              <w:spacing w:before="20" w:after="20" w:line="252" w:lineRule="auto"/>
            </w:pPr>
            <w:r>
              <w:rPr>
                <w:b w:val="0"/>
                <w:i w:val="0"/>
                <w:sz w:val="19"/>
              </w:rPr>
              <w:t>Regresión de cada variable predictora sobre las demás y cálculo de 1 / (1 − R²)</w:t>
            </w:r>
          </w:p>
        </w:tc>
        <w:tc>
          <w:tcPr>
            <w:tcW w:type="dxa" w:w="3238"/>
            <w:vAlign w:val="top"/>
          </w:tcPr>
          <w:p>
            <w:pPr>
              <w:spacing w:before="20" w:after="20" w:line="252" w:lineRule="auto"/>
            </w:pPr>
            <w:r>
              <w:rPr>
                <w:b w:val="0"/>
                <w:i w:val="0"/>
                <w:sz w:val="19"/>
              </w:rPr>
              <w:t>Valores próximos a 1 indican que las variables aportan información independiente</w:t>
            </w:r>
          </w:p>
        </w:tc>
      </w:tr>
      <w:tr>
        <w:trPr>
          <w:cantSplit w:val="true"/>
        </w:trPr>
        <w:tc>
          <w:tcPr>
            <w:tcW w:type="dxa" w:w="1524"/>
            <w:shd w:val="clear" w:color="auto" w:fill="F6F9FC"/>
            <w:vAlign w:val="top"/>
          </w:tcPr>
          <w:p>
            <w:pPr>
              <w:spacing w:before="20" w:after="20" w:line="252" w:lineRule="auto"/>
            </w:pPr>
            <w:r>
              <w:rPr>
                <w:b w:val="0"/>
                <w:i w:val="0"/>
                <w:sz w:val="19"/>
              </w:rPr>
              <w:t>Autocorrelación</w:t>
            </w:r>
          </w:p>
        </w:tc>
        <w:tc>
          <w:tcPr>
            <w:tcW w:type="dxa" w:w="762"/>
            <w:shd w:val="clear" w:color="auto" w:fill="F6F9FC"/>
            <w:vAlign w:val="top"/>
          </w:tcPr>
          <w:p>
            <w:pPr>
              <w:spacing w:before="20" w:after="20" w:line="252" w:lineRule="auto"/>
            </w:pPr>
            <w:r>
              <w:rPr>
                <w:b w:val="0"/>
                <w:i w:val="0"/>
                <w:sz w:val="19"/>
              </w:rPr>
              <w:t>2</w:t>
            </w:r>
          </w:p>
        </w:tc>
        <w:tc>
          <w:tcPr>
            <w:tcW w:type="dxa" w:w="4000"/>
            <w:shd w:val="clear" w:color="auto" w:fill="F6F9FC"/>
            <w:vAlign w:val="top"/>
          </w:tcPr>
          <w:p>
            <w:pPr>
              <w:spacing w:before="20" w:after="20" w:line="252" w:lineRule="auto"/>
            </w:pPr>
            <w:r>
              <w:rPr>
                <w:b w:val="0"/>
                <w:i w:val="0"/>
                <w:sz w:val="19"/>
              </w:rPr>
              <w:t>Correlación de la serie consigo misma desfasada un período</w:t>
            </w:r>
          </w:p>
        </w:tc>
        <w:tc>
          <w:tcPr>
            <w:tcW w:type="dxa" w:w="3238"/>
            <w:shd w:val="clear" w:color="auto" w:fill="F6F9FC"/>
            <w:vAlign w:val="top"/>
          </w:tcPr>
          <w:p>
            <w:pPr>
              <w:spacing w:before="20" w:after="20" w:line="252" w:lineRule="auto"/>
            </w:pPr>
            <w:r>
              <w:rPr>
                <w:b w:val="0"/>
                <w:i w:val="0"/>
                <w:sz w:val="19"/>
              </w:rPr>
              <w:t>Valores muy altos indican no estacionariedad yadvocan trabajar sobre residuos</w:t>
            </w:r>
          </w:p>
        </w:tc>
      </w:tr>
      <w:tr>
        <w:trPr>
          <w:cantSplit w:val="true"/>
        </w:trPr>
        <w:tc>
          <w:tcPr>
            <w:tcW w:type="dxa" w:w="1524"/>
            <w:vAlign w:val="top"/>
          </w:tcPr>
          <w:p>
            <w:pPr>
              <w:spacing w:before="20" w:after="20" w:line="252" w:lineRule="auto"/>
            </w:pPr>
            <w:r>
              <w:rPr>
                <w:b w:val="0"/>
                <w:i w:val="0"/>
                <w:sz w:val="19"/>
              </w:rPr>
              <w:t>Test de Fisher</w:t>
            </w:r>
          </w:p>
        </w:tc>
        <w:tc>
          <w:tcPr>
            <w:tcW w:type="dxa" w:w="762"/>
            <w:vAlign w:val="top"/>
          </w:tcPr>
          <w:p>
            <w:pPr>
              <w:spacing w:before="20" w:after="20" w:line="252" w:lineRule="auto"/>
            </w:pPr>
            <w:r>
              <w:rPr>
                <w:b w:val="0"/>
                <w:i w:val="0"/>
                <w:sz w:val="19"/>
              </w:rPr>
              <w:t>4</w:t>
            </w:r>
          </w:p>
        </w:tc>
        <w:tc>
          <w:tcPr>
            <w:tcW w:type="dxa" w:w="4000"/>
            <w:vAlign w:val="top"/>
          </w:tcPr>
          <w:p>
            <w:pPr>
              <w:spacing w:before="20" w:after="20" w:line="252" w:lineRule="auto"/>
            </w:pPr>
            <w:r>
              <w:rPr>
                <w:b w:val="0"/>
                <w:i w:val="0"/>
                <w:sz w:val="19"/>
              </w:rPr>
              <w:t>Transformación z = arctanh(r) de cada correlación y comparación de las dos mitades</w:t>
            </w:r>
          </w:p>
        </w:tc>
        <w:tc>
          <w:tcPr>
            <w:tcW w:type="dxa" w:w="3238"/>
            <w:vAlign w:val="top"/>
          </w:tcPr>
          <w:p>
            <w:pPr>
              <w:spacing w:before="20" w:after="20" w:line="252" w:lineRule="auto"/>
            </w:pPr>
            <w:r>
              <w:rPr>
                <w:b w:val="0"/>
                <w:i w:val="0"/>
                <w:sz w:val="19"/>
              </w:rPr>
              <w:t>Un p-valor alto indica que la diferencia entre las correlaciones es compatible con el azar</w:t>
            </w:r>
          </w:p>
        </w:tc>
      </w:tr>
      <w:tr>
        <w:trPr>
          <w:cantSplit w:val="true"/>
        </w:trPr>
        <w:tc>
          <w:tcPr>
            <w:tcW w:type="dxa" w:w="1524"/>
            <w:shd w:val="clear" w:color="auto" w:fill="F6F9FC"/>
            <w:vAlign w:val="top"/>
          </w:tcPr>
          <w:p>
            <w:pPr>
              <w:spacing w:before="20" w:after="20" w:line="252" w:lineRule="auto"/>
            </w:pPr>
            <w:r>
              <w:rPr>
                <w:b w:val="0"/>
                <w:i w:val="0"/>
                <w:sz w:val="19"/>
              </w:rPr>
              <w:t>Coeficiente de interacción</w:t>
            </w:r>
          </w:p>
        </w:tc>
        <w:tc>
          <w:tcPr>
            <w:tcW w:type="dxa" w:w="762"/>
            <w:shd w:val="clear" w:color="auto" w:fill="F6F9FC"/>
            <w:vAlign w:val="top"/>
          </w:tcPr>
          <w:p>
            <w:pPr>
              <w:spacing w:before="20" w:after="20" w:line="252" w:lineRule="auto"/>
            </w:pPr>
            <w:r>
              <w:rPr>
                <w:b w:val="0"/>
                <w:i w:val="0"/>
                <w:sz w:val="19"/>
              </w:rPr>
              <w:t>4</w:t>
            </w:r>
          </w:p>
        </w:tc>
        <w:tc>
          <w:tcPr>
            <w:tcW w:type="dxa" w:w="4000"/>
            <w:shd w:val="clear" w:color="auto" w:fill="F6F9FC"/>
            <w:vAlign w:val="top"/>
          </w:tcPr>
          <w:p>
            <w:pPr>
              <w:spacing w:before="20" w:after="20" w:line="252" w:lineRule="auto"/>
            </w:pPr>
            <w:r>
              <w:rPr>
                <w:b w:val="0"/>
                <w:i w:val="0"/>
                <w:sz w:val="19"/>
              </w:rPr>
              <w:t>Modelo temp ~ pbi + post + pbi:post, donde post indica el cambio de período</w:t>
            </w:r>
          </w:p>
        </w:tc>
        <w:tc>
          <w:tcPr>
            <w:tcW w:type="dxa" w:w="3238"/>
            <w:shd w:val="clear" w:color="auto" w:fill="F6F9FC"/>
            <w:vAlign w:val="top"/>
          </w:tcPr>
          <w:p>
            <w:pPr>
              <w:spacing w:before="20" w:after="20" w:line="252" w:lineRule="auto"/>
            </w:pPr>
            <w:r>
              <w:rPr>
                <w:b w:val="0"/>
                <w:i w:val="0"/>
                <w:sz w:val="19"/>
              </w:rPr>
              <w:t>Si el coeficiente de interacción no es significativo, la pendiente del PBI es la misma en ambos períodos</w:t>
            </w:r>
          </w:p>
        </w:tc>
      </w:tr>
      <w:tr>
        <w:trPr>
          <w:cantSplit w:val="true"/>
        </w:trPr>
        <w:tc>
          <w:tcPr>
            <w:tcW w:type="dxa" w:w="1524"/>
            <w:vAlign w:val="top"/>
          </w:tcPr>
          <w:p>
            <w:pPr>
              <w:spacing w:before="20" w:after="20" w:line="252" w:lineRule="auto"/>
            </w:pPr>
            <w:r>
              <w:rPr>
                <w:b w:val="0"/>
                <w:i w:val="0"/>
                <w:sz w:val="19"/>
              </w:rPr>
              <w:t>RMSE y MAE</w:t>
            </w:r>
          </w:p>
        </w:tc>
        <w:tc>
          <w:tcPr>
            <w:tcW w:type="dxa" w:w="762"/>
            <w:vAlign w:val="top"/>
          </w:tcPr>
          <w:p>
            <w:pPr>
              <w:spacing w:before="20" w:after="20" w:line="252" w:lineRule="auto"/>
            </w:pPr>
            <w:r>
              <w:rPr>
                <w:b w:val="0"/>
                <w:i w:val="0"/>
                <w:sz w:val="19"/>
              </w:rPr>
              <w:t>6</w:t>
            </w:r>
          </w:p>
        </w:tc>
        <w:tc>
          <w:tcPr>
            <w:tcW w:type="dxa" w:w="4000"/>
            <w:vAlign w:val="top"/>
          </w:tcPr>
          <w:p>
            <w:pPr>
              <w:spacing w:before="20" w:after="20" w:line="252" w:lineRule="auto"/>
            </w:pPr>
            <w:r>
              <w:rPr>
                <w:b w:val="0"/>
                <w:i w:val="0"/>
                <w:sz w:val="19"/>
              </w:rPr>
              <w:t>Raíz del error cuadrático medio y error absoluto medio sobre el conjunto de prueba</w:t>
            </w:r>
          </w:p>
        </w:tc>
        <w:tc>
          <w:tcPr>
            <w:tcW w:type="dxa" w:w="3238"/>
            <w:vAlign w:val="top"/>
          </w:tcPr>
          <w:p>
            <w:pPr>
              <w:spacing w:before="20" w:after="20" w:line="252" w:lineRule="auto"/>
            </w:pPr>
            <w:r>
              <w:rPr>
                <w:b w:val="0"/>
                <w:i w:val="0"/>
                <w:sz w:val="19"/>
              </w:rPr>
              <w:t>Cuanto menor sea el valor, mejor predice el modelo</w:t>
            </w:r>
          </w:p>
        </w:tc>
      </w:tr>
      <w:tr>
        <w:trPr>
          <w:cantSplit w:val="true"/>
        </w:trPr>
        <w:tc>
          <w:tcPr>
            <w:tcW w:type="dxa" w:w="1524"/>
            <w:shd w:val="clear" w:color="auto" w:fill="F6F9FC"/>
            <w:vAlign w:val="top"/>
          </w:tcPr>
          <w:p>
            <w:pPr>
              <w:spacing w:before="20" w:after="20" w:line="252" w:lineRule="auto"/>
            </w:pPr>
            <w:r>
              <w:rPr>
                <w:b w:val="0"/>
                <w:i w:val="0"/>
                <w:sz w:val="19"/>
              </w:rPr>
              <w:t>R² de prueba</w:t>
            </w:r>
          </w:p>
        </w:tc>
        <w:tc>
          <w:tcPr>
            <w:tcW w:type="dxa" w:w="762"/>
            <w:shd w:val="clear" w:color="auto" w:fill="F6F9FC"/>
            <w:vAlign w:val="top"/>
          </w:tcPr>
          <w:p>
            <w:pPr>
              <w:spacing w:before="20" w:after="20" w:line="252" w:lineRule="auto"/>
            </w:pPr>
            <w:r>
              <w:rPr>
                <w:b w:val="0"/>
                <w:i w:val="0"/>
                <w:sz w:val="19"/>
              </w:rPr>
              <w:t>6</w:t>
            </w:r>
          </w:p>
        </w:tc>
        <w:tc>
          <w:tcPr>
            <w:tcW w:type="dxa" w:w="4000"/>
            <w:shd w:val="clear" w:color="auto" w:fill="F6F9FC"/>
            <w:vAlign w:val="top"/>
          </w:tcPr>
          <w:p>
            <w:pPr>
              <w:spacing w:before="20" w:after="20" w:line="252" w:lineRule="auto"/>
            </w:pPr>
            <w:r>
              <w:rPr>
                <w:b w:val="0"/>
                <w:i w:val="0"/>
                <w:sz w:val="19"/>
              </w:rPr>
              <w:t>Proporción de varianza explicada en el conjunto de prueba</w:t>
            </w:r>
          </w:p>
        </w:tc>
        <w:tc>
          <w:tcPr>
            <w:tcW w:type="dxa" w:w="3238"/>
            <w:shd w:val="clear" w:color="auto" w:fill="F6F9FC"/>
            <w:vAlign w:val="top"/>
          </w:tcPr>
          <w:p>
            <w:pPr>
              <w:spacing w:before="20" w:after="20" w:line="252" w:lineRule="auto"/>
            </w:pPr>
            <w:r>
              <w:rPr>
                <w:b w:val="0"/>
                <w:i w:val="0"/>
                <w:sz w:val="19"/>
              </w:rPr>
              <w:t>Un valor negativo indica que el modelo predice peor que la media de los datos</w:t>
            </w:r>
          </w:p>
        </w:tc>
      </w:tr>
      <w:tr>
        <w:trPr>
          <w:cantSplit w:val="true"/>
        </w:trPr>
        <w:tc>
          <w:tcPr>
            <w:tcW w:type="dxa" w:w="1524"/>
            <w:vAlign w:val="top"/>
          </w:tcPr>
          <w:p>
            <w:pPr>
              <w:spacing w:before="20" w:after="20" w:line="252" w:lineRule="auto"/>
            </w:pPr>
            <w:r>
              <w:rPr>
                <w:b w:val="0"/>
                <w:i w:val="0"/>
                <w:sz w:val="19"/>
              </w:rPr>
              <w:t>Importancia de variables</w:t>
            </w:r>
          </w:p>
        </w:tc>
        <w:tc>
          <w:tcPr>
            <w:tcW w:type="dxa" w:w="762"/>
            <w:vAlign w:val="top"/>
          </w:tcPr>
          <w:p>
            <w:pPr>
              <w:spacing w:before="20" w:after="20" w:line="252" w:lineRule="auto"/>
            </w:pPr>
            <w:r>
              <w:rPr>
                <w:b w:val="0"/>
                <w:i w:val="0"/>
                <w:sz w:val="19"/>
              </w:rPr>
              <w:t>5</w:t>
            </w:r>
          </w:p>
        </w:tc>
        <w:tc>
          <w:tcPr>
            <w:tcW w:type="dxa" w:w="4000"/>
            <w:vAlign w:val="top"/>
          </w:tcPr>
          <w:p>
            <w:pPr>
              <w:spacing w:before="20" w:after="20" w:line="252" w:lineRule="auto"/>
            </w:pPr>
            <w:r>
              <w:rPr>
                <w:b w:val="0"/>
                <w:i w:val="0"/>
                <w:sz w:val="19"/>
              </w:rPr>
              <w:t>Para el ensemble, reducción media de la impureza al separar cada variable</w:t>
            </w:r>
          </w:p>
        </w:tc>
        <w:tc>
          <w:tcPr>
            <w:tcW w:type="dxa" w:w="3238"/>
            <w:vAlign w:val="top"/>
          </w:tcPr>
          <w:p>
            <w:pPr>
              <w:spacing w:before="20" w:after="20" w:line="252" w:lineRule="auto"/>
            </w:pPr>
            <w:r>
              <w:rPr>
                <w:b w:val="0"/>
                <w:i w:val="0"/>
                <w:sz w:val="19"/>
              </w:rPr>
              <w:t>Muestra qué variable domina la predicción, sin implicar causalidad</w:t>
            </w:r>
          </w:p>
        </w:tc>
      </w:tr>
    </w:tbl>
    <w:p>
      <w:pPr>
        <w:spacing w:after="80"/>
      </w:pPr>
    </w:p>
    <w:p>
      <w:pPr>
        <w:pStyle w:val="Heading2"/>
      </w:pPr>
      <w:r>
        <w:t>5.6 Control de calidad de la recolección</w:t>
      </w:r>
    </w:p>
    <w:p>
      <w:pPr>
        <w:pStyle w:val="ListBullet"/>
        <w:spacing w:after="40"/>
        <w:ind w:left="397"/>
      </w:pPr>
      <w:r>
        <w:rPr>
          <w:b w:val="0"/>
          <w:i w:val="0"/>
        </w:rPr>
        <w:t>Verificar que la cobertura temporal de cada fuente alcance el rango común con las demás antes de fijar el período de análisis.</w:t>
      </w:r>
    </w:p>
    <w:p>
      <w:pPr>
        <w:pStyle w:val="ListBullet"/>
        <w:spacing w:after="40"/>
        <w:ind w:left="397"/>
      </w:pPr>
      <w:r>
        <w:rPr>
          <w:b w:val="0"/>
          <w:i w:val="0"/>
        </w:rPr>
        <w:t>Comprobar que no haya años duplicados ni registros por unidad territorial que no sea la de interés.</w:t>
      </w:r>
    </w:p>
    <w:p>
      <w:pPr>
        <w:pStyle w:val="ListBullet"/>
        <w:spacing w:after="40"/>
        <w:ind w:left="397"/>
      </w:pPr>
      <w:r>
        <w:rPr>
          <w:b w:val="0"/>
          <w:i w:val="0"/>
        </w:rPr>
        <w:t>Comparar magnitudes entre series que se refieren al mismo fenómeno pero provienen de organismos distintos, para detectar cambios de definición.</w:t>
      </w:r>
    </w:p>
    <w:p>
      <w:pPr>
        <w:pStyle w:val="ListBullet"/>
        <w:spacing w:after="40"/>
        <w:ind w:left="397"/>
      </w:pPr>
      <w:r>
        <w:rPr>
          <w:b w:val="0"/>
          <w:i w:val="0"/>
        </w:rPr>
        <w:t>Registrar en la ficha de metadatos cualquier advertencia metodológica publicada por la fuente.</w:t>
      </w:r>
    </w:p>
    <w:p>
      <w:pPr>
        <w:pStyle w:val="ListBullet"/>
        <w:spacing w:after="40"/>
        <w:ind w:left="397"/>
      </w:pPr>
      <w:r>
        <w:rPr>
          <w:b w:val="0"/>
          <w:i w:val="0"/>
        </w:rPr>
        <w:t>Conservar el archivo original sin modificar, de modo que cualquier decisión posterior de limpieza pueda reconstruirse o revertirse.</w:t>
      </w:r>
    </w:p>
    <w:p>
      <w:pPr>
        <w:pStyle w:val="Heading1"/>
        <w:pBdr>
          <w:bottom w:val="single" w:sz="6" w:space="6" w:color="B9C7D6"/>
        </w:pBdr>
      </w:pPr>
      <w:r>
        <w:t>6. Procedimiento de preparación de los datos</w:t>
      </w:r>
    </w:p>
    <w:p>
      <w:r>
        <w:rPr>
          <w:b w:val="0"/>
          <w:i w:val="0"/>
        </w:rPr>
        <w:t xml:space="preserve">Este apartado explica </w:t>
      </w:r>
      <w:r>
        <w:rPr>
          <w:b/>
          <w:i w:val="0"/>
        </w:rPr>
        <w:t>cómo se preparan los datos</w:t>
      </w:r>
      <w:r>
        <w:rPr>
          <w:b w:val="0"/>
          <w:i w:val="0"/>
        </w:rPr>
        <w:t>, qué problemas se anticipan, cómo se resuelven y con qué propósito se aplica cada transformación.</w:t>
      </w:r>
    </w:p>
    <w:p>
      <w:pPr>
        <w:pStyle w:val="Heading2"/>
      </w:pPr>
      <w:r>
        <w:t>6.1 Plan de selección de variables</w:t>
      </w:r>
    </w:p>
    <w:p>
      <w:r>
        <w:rPr>
          <w:b w:val="0"/>
          <w:i w:val="0"/>
        </w:rPr>
        <w:t>La selección se realiza de arriba hacia abajo. Primero se retienen las variables que los objetivos exigen —temperatura, PBI, GEI y precipitación— más el año, que actúa como clave y como variable de tiempo. Después se evalúa el resto de las candidatas según dos criterios: que aporte información no redundante y que tenga cobertura suficiente para todo el período declarado.</w:t>
      </w:r>
    </w:p>
    <w:p>
      <w:r>
        <w:rPr>
          <w:b w:val="0"/>
          <w:i w:val="0"/>
        </w:rPr>
        <w:t>Las variables que se conservan con carácter de contraste son las series alternativas de emisiones (CO₂ fósil e inventario oficial) y el PBI per cápita. No entran en el modelo principal, pero permiten responder a la objeción de que la conclusión dependa de una elección particular de fuente.</w:t>
      </w:r>
    </w:p>
    <w:p>
      <w:pPr>
        <w:pStyle w:val="Heading2"/>
      </w:pPr>
      <w:r>
        <w:t>6.2 Diagnóstico y plan de limpieza</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2095"/>
            <w:shd w:val="clear" w:color="auto" w:fill="1E3A5F"/>
            <w:vAlign w:val="center"/>
          </w:tcPr>
          <w:p>
            <w:pPr>
              <w:spacing w:before="40" w:after="40"/>
            </w:pPr>
            <w:r>
              <w:rPr>
                <w:b/>
                <w:i w:val="0"/>
                <w:color w:val="FFFFFF"/>
                <w:sz w:val="19"/>
              </w:rPr>
              <w:t>Problema anticipado</w:t>
            </w:r>
          </w:p>
        </w:tc>
        <w:tc>
          <w:tcPr>
            <w:tcW w:type="dxa" w:w="2286"/>
            <w:shd w:val="clear" w:color="auto" w:fill="1E3A5F"/>
            <w:vAlign w:val="center"/>
          </w:tcPr>
          <w:p>
            <w:pPr>
              <w:spacing w:before="40" w:after="40"/>
            </w:pPr>
            <w:r>
              <w:rPr>
                <w:b/>
                <w:i w:val="0"/>
                <w:color w:val="FFFFFF"/>
                <w:sz w:val="19"/>
              </w:rPr>
              <w:t>Cómo se detecta</w:t>
            </w:r>
          </w:p>
        </w:tc>
        <w:tc>
          <w:tcPr>
            <w:tcW w:type="dxa" w:w="2857"/>
            <w:shd w:val="clear" w:color="auto" w:fill="1E3A5F"/>
            <w:vAlign w:val="center"/>
          </w:tcPr>
          <w:p>
            <w:pPr>
              <w:spacing w:before="40" w:after="40"/>
            </w:pPr>
            <w:r>
              <w:rPr>
                <w:b/>
                <w:i w:val="0"/>
                <w:color w:val="FFFFFF"/>
                <w:sz w:val="19"/>
              </w:rPr>
              <w:t>Tratamiento previsto</w:t>
            </w:r>
          </w:p>
        </w:tc>
        <w:tc>
          <w:tcPr>
            <w:tcW w:type="dxa" w:w="2286"/>
            <w:shd w:val="clear" w:color="auto" w:fill="1E3A5F"/>
            <w:vAlign w:val="center"/>
          </w:tcPr>
          <w:p>
            <w:pPr>
              <w:spacing w:before="40" w:after="40"/>
            </w:pPr>
            <w:r>
              <w:rPr>
                <w:b/>
                <w:i w:val="0"/>
                <w:color w:val="FFFFFF"/>
                <w:sz w:val="19"/>
              </w:rPr>
              <w:t>Propósito</w:t>
            </w:r>
          </w:p>
        </w:tc>
      </w:tr>
      <w:tr>
        <w:trPr>
          <w:cantSplit w:val="true"/>
        </w:trPr>
        <w:tc>
          <w:tcPr>
            <w:tcW w:type="dxa" w:w="2095"/>
            <w:vAlign w:val="top"/>
          </w:tcPr>
          <w:p>
            <w:pPr>
              <w:spacing w:before="20" w:after="20" w:line="252" w:lineRule="auto"/>
            </w:pPr>
            <w:r>
              <w:rPr>
                <w:b w:val="0"/>
                <w:i w:val="0"/>
                <w:sz w:val="19"/>
              </w:rPr>
              <w:t>Años incompletos en alguna serie</w:t>
            </w:r>
          </w:p>
        </w:tc>
        <w:tc>
          <w:tcPr>
            <w:tcW w:type="dxa" w:w="2286"/>
            <w:vAlign w:val="top"/>
          </w:tcPr>
          <w:p>
            <w:pPr>
              <w:spacing w:before="20" w:after="20" w:line="252" w:lineRule="auto"/>
            </w:pPr>
            <w:r>
              <w:rPr>
                <w:b w:val="0"/>
                <w:i w:val="0"/>
                <w:sz w:val="19"/>
              </w:rPr>
              <w:t>Conteo de valores nulos por columna y por año</w:t>
            </w:r>
          </w:p>
        </w:tc>
        <w:tc>
          <w:tcPr>
            <w:tcW w:type="dxa" w:w="2857"/>
            <w:vAlign w:val="top"/>
          </w:tcPr>
          <w:p>
            <w:pPr>
              <w:spacing w:before="20" w:after="20" w:line="252" w:lineRule="auto"/>
            </w:pPr>
            <w:r>
              <w:rPr>
                <w:b w:val="0"/>
                <w:i w:val="0"/>
                <w:sz w:val="19"/>
              </w:rPr>
              <w:t>Recortar el período al rango común o completar con una fuente alternativa</w:t>
            </w:r>
          </w:p>
        </w:tc>
        <w:tc>
          <w:tcPr>
            <w:tcW w:type="dxa" w:w="2286"/>
            <w:vAlign w:val="top"/>
          </w:tcPr>
          <w:p>
            <w:pPr>
              <w:spacing w:before="20" w:after="20" w:line="252" w:lineRule="auto"/>
            </w:pPr>
            <w:r>
              <w:rPr>
                <w:b w:val="0"/>
                <w:i w:val="0"/>
                <w:sz w:val="19"/>
              </w:rPr>
              <w:t>Evitar que la muestra quede sesgada entre variables</w:t>
            </w:r>
          </w:p>
        </w:tc>
      </w:tr>
      <w:tr>
        <w:trPr>
          <w:cantSplit w:val="true"/>
        </w:trPr>
        <w:tc>
          <w:tcPr>
            <w:tcW w:type="dxa" w:w="2095"/>
            <w:shd w:val="clear" w:color="auto" w:fill="F6F9FC"/>
            <w:vAlign w:val="top"/>
          </w:tcPr>
          <w:p>
            <w:pPr>
              <w:spacing w:before="20" w:after="20" w:line="252" w:lineRule="auto"/>
            </w:pPr>
            <w:r>
              <w:rPr>
                <w:b w:val="0"/>
                <w:i w:val="0"/>
                <w:sz w:val="19"/>
              </w:rPr>
              <w:t>Cobertura insuficiente de una serie oficial</w:t>
            </w:r>
          </w:p>
        </w:tc>
        <w:tc>
          <w:tcPr>
            <w:tcW w:type="dxa" w:w="2286"/>
            <w:shd w:val="clear" w:color="auto" w:fill="F6F9FC"/>
            <w:vAlign w:val="top"/>
          </w:tcPr>
          <w:p>
            <w:pPr>
              <w:spacing w:before="20" w:after="20" w:line="252" w:lineRule="auto"/>
            </w:pPr>
            <w:r>
              <w:rPr>
                <w:b w:val="0"/>
                <w:i w:val="0"/>
                <w:sz w:val="19"/>
              </w:rPr>
              <w:t>Comparación del rango disponible contra el período requerido</w:t>
            </w:r>
          </w:p>
        </w:tc>
        <w:tc>
          <w:tcPr>
            <w:tcW w:type="dxa" w:w="2857"/>
            <w:shd w:val="clear" w:color="auto" w:fill="F6F9FC"/>
            <w:vAlign w:val="top"/>
          </w:tcPr>
          <w:p>
            <w:pPr>
              <w:spacing w:before="20" w:after="20" w:line="252" w:lineRule="auto"/>
            </w:pPr>
            <w:r>
              <w:rPr>
                <w:b w:val="0"/>
                <w:i w:val="0"/>
                <w:sz w:val="19"/>
              </w:rPr>
              <w:t>Usar esa serie solo como contraste, nunca como variable principal</w:t>
            </w:r>
          </w:p>
        </w:tc>
        <w:tc>
          <w:tcPr>
            <w:tcW w:type="dxa" w:w="2286"/>
            <w:shd w:val="clear" w:color="auto" w:fill="F6F9FC"/>
            <w:vAlign w:val="top"/>
          </w:tcPr>
          <w:p>
            <w:pPr>
              <w:spacing w:before="20" w:after="20" w:line="252" w:lineRule="auto"/>
            </w:pPr>
            <w:r>
              <w:rPr>
                <w:b w:val="0"/>
                <w:i w:val="0"/>
                <w:sz w:val="19"/>
              </w:rPr>
              <w:t>Conservar potencia estadística en las variables del modelo</w:t>
            </w:r>
          </w:p>
        </w:tc>
      </w:tr>
      <w:tr>
        <w:trPr>
          <w:cantSplit w:val="true"/>
        </w:trPr>
        <w:tc>
          <w:tcPr>
            <w:tcW w:type="dxa" w:w="2095"/>
            <w:vAlign w:val="top"/>
          </w:tcPr>
          <w:p>
            <w:pPr>
              <w:spacing w:before="20" w:after="20" w:line="252" w:lineRule="auto"/>
            </w:pPr>
            <w:r>
              <w:rPr>
                <w:b w:val="0"/>
                <w:i w:val="0"/>
                <w:sz w:val="19"/>
              </w:rPr>
              <w:t>Valores atípicos extremos</w:t>
            </w:r>
          </w:p>
        </w:tc>
        <w:tc>
          <w:tcPr>
            <w:tcW w:type="dxa" w:w="2286"/>
            <w:vAlign w:val="top"/>
          </w:tcPr>
          <w:p>
            <w:pPr>
              <w:spacing w:before="20" w:after="20" w:line="252" w:lineRule="auto"/>
            </w:pPr>
            <w:r>
              <w:rPr>
                <w:b w:val="0"/>
                <w:i w:val="0"/>
                <w:sz w:val="19"/>
              </w:rPr>
              <w:t>Rango intercuartílico y contraste entre la media y la mediana</w:t>
            </w:r>
          </w:p>
        </w:tc>
        <w:tc>
          <w:tcPr>
            <w:tcW w:type="dxa" w:w="2857"/>
            <w:vAlign w:val="top"/>
          </w:tcPr>
          <w:p>
            <w:pPr>
              <w:spacing w:before="20" w:after="20" w:line="252" w:lineRule="auto"/>
            </w:pPr>
            <w:r>
              <w:rPr>
                <w:b w:val="0"/>
                <w:i w:val="0"/>
                <w:sz w:val="19"/>
              </w:rPr>
              <w:t>Verificar primero si el valor es un error de tipeo o un hecho real</w:t>
            </w:r>
          </w:p>
        </w:tc>
        <w:tc>
          <w:tcPr>
            <w:tcW w:type="dxa" w:w="2286"/>
            <w:vAlign w:val="top"/>
          </w:tcPr>
          <w:p>
            <w:pPr>
              <w:spacing w:before="20" w:after="20" w:line="252" w:lineRule="auto"/>
            </w:pPr>
            <w:r>
              <w:rPr>
                <w:b w:val="0"/>
                <w:i w:val="0"/>
                <w:sz w:val="19"/>
              </w:rPr>
              <w:t>No eliminar valores legítimos: un año extraordinariamente cálido o frío puede ser un hecho real y verificable, no un error de tipeo</w:t>
            </w:r>
          </w:p>
        </w:tc>
      </w:tr>
      <w:tr>
        <w:trPr>
          <w:cantSplit w:val="true"/>
        </w:trPr>
        <w:tc>
          <w:tcPr>
            <w:tcW w:type="dxa" w:w="2095"/>
            <w:shd w:val="clear" w:color="auto" w:fill="F6F9FC"/>
            <w:vAlign w:val="top"/>
          </w:tcPr>
          <w:p>
            <w:pPr>
              <w:spacing w:before="20" w:after="20" w:line="252" w:lineRule="auto"/>
            </w:pPr>
            <w:r>
              <w:rPr>
                <w:b w:val="0"/>
                <w:i w:val="0"/>
                <w:sz w:val="19"/>
              </w:rPr>
              <w:t>Duplicados en la clave de unión</w:t>
            </w:r>
          </w:p>
        </w:tc>
        <w:tc>
          <w:tcPr>
            <w:tcW w:type="dxa" w:w="2286"/>
            <w:shd w:val="clear" w:color="auto" w:fill="F6F9FC"/>
            <w:vAlign w:val="top"/>
          </w:tcPr>
          <w:p>
            <w:pPr>
              <w:spacing w:before="20" w:after="20" w:line="252" w:lineRule="auto"/>
            </w:pPr>
            <w:r>
              <w:rPr>
                <w:b w:val="0"/>
                <w:i w:val="0"/>
                <w:sz w:val="19"/>
              </w:rPr>
              <w:t>Conteo de filas por año tras la unión</w:t>
            </w:r>
          </w:p>
        </w:tc>
        <w:tc>
          <w:tcPr>
            <w:tcW w:type="dxa" w:w="2857"/>
            <w:shd w:val="clear" w:color="auto" w:fill="F6F9FC"/>
            <w:vAlign w:val="top"/>
          </w:tcPr>
          <w:p>
            <w:pPr>
              <w:spacing w:before="20" w:after="20" w:line="252" w:lineRule="auto"/>
            </w:pPr>
            <w:r>
              <w:rPr>
                <w:b w:val="0"/>
                <w:i w:val="0"/>
                <w:sz w:val="19"/>
              </w:rPr>
              <w:t>Deduplicar conservando el registro con metadatos más completo</w:t>
            </w:r>
          </w:p>
        </w:tc>
        <w:tc>
          <w:tcPr>
            <w:tcW w:type="dxa" w:w="2286"/>
            <w:shd w:val="clear" w:color="auto" w:fill="F6F9FC"/>
            <w:vAlign w:val="top"/>
          </w:tcPr>
          <w:p>
            <w:pPr>
              <w:spacing w:before="20" w:after="20" w:line="252" w:lineRule="auto"/>
            </w:pPr>
            <w:r>
              <w:rPr>
                <w:b w:val="0"/>
                <w:i w:val="0"/>
                <w:sz w:val="19"/>
              </w:rPr>
              <w:t>Garantizar un único registro por año</w:t>
            </w:r>
          </w:p>
        </w:tc>
      </w:tr>
      <w:tr>
        <w:trPr>
          <w:cantSplit w:val="true"/>
        </w:trPr>
        <w:tc>
          <w:tcPr>
            <w:tcW w:type="dxa" w:w="2095"/>
            <w:vAlign w:val="top"/>
          </w:tcPr>
          <w:p>
            <w:pPr>
              <w:spacing w:before="20" w:after="20" w:line="252" w:lineRule="auto"/>
            </w:pPr>
            <w:r>
              <w:rPr>
                <w:b w:val="0"/>
                <w:i w:val="0"/>
                <w:sz w:val="19"/>
              </w:rPr>
              <w:t>Unidades heterogéneas entre fuentes</w:t>
            </w:r>
          </w:p>
        </w:tc>
        <w:tc>
          <w:tcPr>
            <w:tcW w:type="dxa" w:w="2286"/>
            <w:vAlign w:val="top"/>
          </w:tcPr>
          <w:p>
            <w:pPr>
              <w:spacing w:before="20" w:after="20" w:line="252" w:lineRule="auto"/>
            </w:pPr>
            <w:r>
              <w:rPr>
                <w:b w:val="0"/>
                <w:i w:val="0"/>
                <w:sz w:val="19"/>
              </w:rPr>
              <w:t>Comparación de órdenes de magnitud entre series equivalentes</w:t>
            </w:r>
          </w:p>
        </w:tc>
        <w:tc>
          <w:tcPr>
            <w:tcW w:type="dxa" w:w="2857"/>
            <w:vAlign w:val="top"/>
          </w:tcPr>
          <w:p>
            <w:pPr>
              <w:spacing w:before="20" w:after="20" w:line="252" w:lineRule="auto"/>
            </w:pPr>
            <w:r>
              <w:rPr>
                <w:b w:val="0"/>
                <w:i w:val="0"/>
                <w:sz w:val="19"/>
              </w:rPr>
              <w:t>Aplicar factores de conversión explícitos y documentarlos</w:t>
            </w:r>
          </w:p>
        </w:tc>
        <w:tc>
          <w:tcPr>
            <w:tcW w:type="dxa" w:w="2286"/>
            <w:vAlign w:val="top"/>
          </w:tcPr>
          <w:p>
            <w:pPr>
              <w:spacing w:before="20" w:after="20" w:line="252" w:lineRule="auto"/>
            </w:pPr>
            <w:r>
              <w:rPr>
                <w:b w:val="0"/>
                <w:i w:val="0"/>
                <w:sz w:val="19"/>
              </w:rPr>
              <w:t>Hacer comparables las magnitudes antes de cualquier correlación</w:t>
            </w:r>
          </w:p>
        </w:tc>
      </w:tr>
      <w:tr>
        <w:trPr>
          <w:cantSplit w:val="true"/>
        </w:trPr>
        <w:tc>
          <w:tcPr>
            <w:tcW w:type="dxa" w:w="2095"/>
            <w:shd w:val="clear" w:color="auto" w:fill="F6F9FC"/>
            <w:vAlign w:val="top"/>
          </w:tcPr>
          <w:p>
            <w:pPr>
              <w:spacing w:before="20" w:after="20" w:line="252" w:lineRule="auto"/>
            </w:pPr>
            <w:r>
              <w:rPr>
                <w:b w:val="0"/>
                <w:i w:val="0"/>
                <w:sz w:val="19"/>
              </w:rPr>
              <w:t>Tipos de dato inesperados</w:t>
            </w:r>
          </w:p>
        </w:tc>
        <w:tc>
          <w:tcPr>
            <w:tcW w:type="dxa" w:w="2286"/>
            <w:shd w:val="clear" w:color="auto" w:fill="F6F9FC"/>
            <w:vAlign w:val="top"/>
          </w:tcPr>
          <w:p>
            <w:pPr>
              <w:spacing w:before="20" w:after="20" w:line="252" w:lineRule="auto"/>
            </w:pPr>
            <w:r>
              <w:rPr>
                <w:b w:val="0"/>
                <w:i w:val="0"/>
                <w:sz w:val="19"/>
              </w:rPr>
              <w:t>Informe de tipos tras la lectura y errores de conversión</w:t>
            </w:r>
          </w:p>
        </w:tc>
        <w:tc>
          <w:tcPr>
            <w:tcW w:type="dxa" w:w="2857"/>
            <w:shd w:val="clear" w:color="auto" w:fill="F6F9FC"/>
            <w:vAlign w:val="top"/>
          </w:tcPr>
          <w:p>
            <w:pPr>
              <w:spacing w:before="20" w:after="20" w:line="252" w:lineRule="auto"/>
            </w:pPr>
            <w:r>
              <w:rPr>
                <w:b w:val="0"/>
                <w:i w:val="0"/>
                <w:sz w:val="19"/>
              </w:rPr>
              <w:t>Forzar el tipo correcto y registrar los valores que no se pueden convertir</w:t>
            </w:r>
          </w:p>
        </w:tc>
        <w:tc>
          <w:tcPr>
            <w:tcW w:type="dxa" w:w="2286"/>
            <w:shd w:val="clear" w:color="auto" w:fill="F6F9FC"/>
            <w:vAlign w:val="top"/>
          </w:tcPr>
          <w:p>
            <w:pPr>
              <w:spacing w:before="20" w:after="20" w:line="252" w:lineRule="auto"/>
            </w:pPr>
            <w:r>
              <w:rPr>
                <w:b w:val="0"/>
                <w:i w:val="0"/>
                <w:sz w:val="19"/>
              </w:rPr>
              <w:t>Evitar que un texto se interprete como número al operar</w:t>
            </w:r>
          </w:p>
        </w:tc>
      </w:tr>
    </w:tbl>
    <w:p>
      <w:pPr>
        <w:spacing w:after="80"/>
      </w:pPr>
    </w:p>
    <w:p>
      <w:pPr>
        <w:pStyle w:val="Heading2"/>
      </w:pPr>
      <w:r>
        <w:t>6.3 Transformaciones previstas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2286"/>
            <w:shd w:val="clear" w:color="auto" w:fill="1E3A5F"/>
            <w:vAlign w:val="center"/>
          </w:tcPr>
          <w:p>
            <w:pPr>
              <w:spacing w:before="40" w:after="40"/>
            </w:pPr>
            <w:r>
              <w:rPr>
                <w:b/>
                <w:i w:val="0"/>
                <w:color w:val="FFFFFF"/>
                <w:sz w:val="19"/>
              </w:rPr>
              <w:t>Transformación</w:t>
            </w:r>
          </w:p>
        </w:tc>
        <w:tc>
          <w:tcPr>
            <w:tcW w:type="dxa" w:w="3810"/>
            <w:shd w:val="clear" w:color="auto" w:fill="1E3A5F"/>
            <w:vAlign w:val="center"/>
          </w:tcPr>
          <w:p>
            <w:pPr>
              <w:spacing w:before="40" w:after="40"/>
            </w:pPr>
            <w:r>
              <w:rPr>
                <w:b/>
                <w:i w:val="0"/>
                <w:color w:val="FFFFFF"/>
                <w:sz w:val="19"/>
              </w:rPr>
              <w:t>Operación</w:t>
            </w:r>
          </w:p>
        </w:tc>
        <w:tc>
          <w:tcPr>
            <w:tcW w:type="dxa" w:w="3429"/>
            <w:shd w:val="clear" w:color="auto" w:fill="1E3A5F"/>
            <w:vAlign w:val="center"/>
          </w:tcPr>
          <w:p>
            <w:pPr>
              <w:spacing w:before="40" w:after="40"/>
            </w:pPr>
            <w:r>
              <w:rPr>
                <w:b/>
                <w:i w:val="0"/>
                <w:color w:val="FFFFFF"/>
                <w:sz w:val="19"/>
              </w:rPr>
              <w:t>Propósito</w:t>
            </w:r>
          </w:p>
        </w:tc>
      </w:tr>
      <w:tr>
        <w:trPr>
          <w:cantSplit w:val="true"/>
        </w:trPr>
        <w:tc>
          <w:tcPr>
            <w:tcW w:type="dxa" w:w="2286"/>
            <w:vAlign w:val="top"/>
          </w:tcPr>
          <w:p>
            <w:pPr>
              <w:spacing w:before="20" w:after="20" w:line="252" w:lineRule="auto"/>
            </w:pPr>
            <w:r>
              <w:rPr>
                <w:b w:val="0"/>
                <w:i w:val="0"/>
                <w:sz w:val="19"/>
              </w:rPr>
              <w:t>Renombrado de columnas</w:t>
            </w:r>
          </w:p>
        </w:tc>
        <w:tc>
          <w:tcPr>
            <w:tcW w:type="dxa" w:w="3810"/>
            <w:vAlign w:val="top"/>
          </w:tcPr>
          <w:p>
            <w:pPr>
              <w:spacing w:before="20" w:after="20" w:line="252" w:lineRule="auto"/>
            </w:pPr>
            <w:r>
              <w:rPr>
                <w:b w:val="0"/>
                <w:i w:val="0"/>
                <w:sz w:val="19"/>
              </w:rPr>
              <w:t>Normalización a minúsculas sin tildes ni espacios</w:t>
            </w:r>
          </w:p>
        </w:tc>
        <w:tc>
          <w:tcPr>
            <w:tcW w:type="dxa" w:w="3429"/>
            <w:vAlign w:val="top"/>
          </w:tcPr>
          <w:p>
            <w:pPr>
              <w:spacing w:before="20" w:after="20" w:line="252" w:lineRule="auto"/>
            </w:pPr>
            <w:r>
              <w:rPr>
                <w:b w:val="0"/>
                <w:i w:val="0"/>
                <w:sz w:val="19"/>
              </w:rPr>
              <w:t>Unificar la nomenclatura entre fuentes y evitar errores de tipeo</w:t>
            </w:r>
          </w:p>
        </w:tc>
      </w:tr>
      <w:tr>
        <w:trPr>
          <w:cantSplit w:val="true"/>
        </w:trPr>
        <w:tc>
          <w:tcPr>
            <w:tcW w:type="dxa" w:w="2286"/>
            <w:shd w:val="clear" w:color="auto" w:fill="F6F9FC"/>
            <w:vAlign w:val="top"/>
          </w:tcPr>
          <w:p>
            <w:pPr>
              <w:spacing w:before="20" w:after="20" w:line="252" w:lineRule="auto"/>
            </w:pPr>
            <w:r>
              <w:rPr>
                <w:b w:val="0"/>
                <w:i w:val="0"/>
                <w:sz w:val="19"/>
              </w:rPr>
              <w:t>Conversión de tipos</w:t>
            </w:r>
          </w:p>
        </w:tc>
        <w:tc>
          <w:tcPr>
            <w:tcW w:type="dxa" w:w="3810"/>
            <w:shd w:val="clear" w:color="auto" w:fill="F6F9FC"/>
            <w:vAlign w:val="top"/>
          </w:tcPr>
          <w:p>
            <w:pPr>
              <w:spacing w:before="20" w:after="20" w:line="252" w:lineRule="auto"/>
            </w:pPr>
            <w:r>
              <w:rPr>
                <w:b w:val="0"/>
                <w:i w:val="0"/>
                <w:sz w:val="19"/>
              </w:rPr>
              <w:t>Año a entero, numéricas a punto flotante</w:t>
            </w:r>
          </w:p>
        </w:tc>
        <w:tc>
          <w:tcPr>
            <w:tcW w:type="dxa" w:w="3429"/>
            <w:shd w:val="clear" w:color="auto" w:fill="F6F9FC"/>
            <w:vAlign w:val="top"/>
          </w:tcPr>
          <w:p>
            <w:pPr>
              <w:spacing w:before="20" w:after="20" w:line="252" w:lineRule="auto"/>
            </w:pPr>
            <w:r>
              <w:rPr>
                <w:b w:val="0"/>
                <w:i w:val="0"/>
                <w:sz w:val="19"/>
              </w:rPr>
              <w:t>Permitir las operaciones de cálculo posteriores</w:t>
            </w:r>
          </w:p>
        </w:tc>
      </w:tr>
      <w:tr>
        <w:trPr>
          <w:cantSplit w:val="true"/>
        </w:trPr>
        <w:tc>
          <w:tcPr>
            <w:tcW w:type="dxa" w:w="2286"/>
            <w:vAlign w:val="top"/>
          </w:tcPr>
          <w:p>
            <w:pPr>
              <w:spacing w:before="20" w:after="20" w:line="252" w:lineRule="auto"/>
            </w:pPr>
            <w:r>
              <w:rPr>
                <w:b w:val="0"/>
                <w:i w:val="0"/>
                <w:sz w:val="19"/>
              </w:rPr>
              <w:t>Filtro territorial</w:t>
            </w:r>
          </w:p>
        </w:tc>
        <w:tc>
          <w:tcPr>
            <w:tcW w:type="dxa" w:w="3810"/>
            <w:vAlign w:val="top"/>
          </w:tcPr>
          <w:p>
            <w:pPr>
              <w:spacing w:before="20" w:after="20" w:line="252" w:lineRule="auto"/>
            </w:pPr>
            <w:r>
              <w:rPr>
                <w:b w:val="0"/>
                <w:i w:val="0"/>
                <w:sz w:val="19"/>
              </w:rPr>
              <w:t>Selección de Argentina y de las 24 jurisdicciones</w:t>
            </w:r>
          </w:p>
        </w:tc>
        <w:tc>
          <w:tcPr>
            <w:tcW w:type="dxa" w:w="3429"/>
            <w:vAlign w:val="top"/>
          </w:tcPr>
          <w:p>
            <w:pPr>
              <w:spacing w:before="20" w:after="20" w:line="252" w:lineRule="auto"/>
            </w:pPr>
            <w:r>
              <w:rPr>
                <w:b w:val="0"/>
                <w:i w:val="0"/>
                <w:sz w:val="19"/>
              </w:rPr>
              <w:t>Descartar registros de otros países presentes en los archivos</w:t>
            </w:r>
          </w:p>
        </w:tc>
      </w:tr>
      <w:tr>
        <w:trPr>
          <w:cantSplit w:val="true"/>
        </w:trPr>
        <w:tc>
          <w:tcPr>
            <w:tcW w:type="dxa" w:w="2286"/>
            <w:shd w:val="clear" w:color="auto" w:fill="F6F9FC"/>
            <w:vAlign w:val="top"/>
          </w:tcPr>
          <w:p>
            <w:pPr>
              <w:spacing w:before="20" w:after="20" w:line="252" w:lineRule="auto"/>
            </w:pPr>
            <w:r>
              <w:rPr>
                <w:b w:val="0"/>
                <w:i w:val="0"/>
                <w:sz w:val="19"/>
              </w:rPr>
              <w:t>Agregación temporal</w:t>
            </w:r>
          </w:p>
        </w:tc>
        <w:tc>
          <w:tcPr>
            <w:tcW w:type="dxa" w:w="3810"/>
            <w:shd w:val="clear" w:color="auto" w:fill="F6F9FC"/>
            <w:vAlign w:val="top"/>
          </w:tcPr>
          <w:p>
            <w:pPr>
              <w:spacing w:before="20" w:after="20" w:line="252" w:lineRule="auto"/>
            </w:pPr>
            <w:r>
              <w:rPr>
                <w:b w:val="0"/>
                <w:i w:val="0"/>
                <w:sz w:val="19"/>
              </w:rPr>
              <w:t>Promedio anual de los valores mensuales, en la extensión provincial</w:t>
            </w:r>
          </w:p>
        </w:tc>
        <w:tc>
          <w:tcPr>
            <w:tcW w:type="dxa" w:w="3429"/>
            <w:shd w:val="clear" w:color="auto" w:fill="F6F9FC"/>
            <w:vAlign w:val="top"/>
          </w:tcPr>
          <w:p>
            <w:pPr>
              <w:spacing w:before="20" w:after="20" w:line="252" w:lineRule="auto"/>
            </w:pPr>
            <w:r>
              <w:rPr>
                <w:b w:val="0"/>
                <w:i w:val="0"/>
                <w:sz w:val="19"/>
              </w:rPr>
              <w:t>Llevar la serie provincial al mismo grano que la nacional</w:t>
            </w:r>
          </w:p>
        </w:tc>
      </w:tr>
      <w:tr>
        <w:trPr>
          <w:cantSplit w:val="true"/>
        </w:trPr>
        <w:tc>
          <w:tcPr>
            <w:tcW w:type="dxa" w:w="2286"/>
            <w:vAlign w:val="top"/>
          </w:tcPr>
          <w:p>
            <w:pPr>
              <w:spacing w:before="20" w:after="20" w:line="252" w:lineRule="auto"/>
            </w:pPr>
            <w:r>
              <w:rPr>
                <w:b w:val="0"/>
                <w:i w:val="0"/>
                <w:sz w:val="19"/>
              </w:rPr>
              <w:t>Regresión sobre el tiempo</w:t>
            </w:r>
          </w:p>
        </w:tc>
        <w:tc>
          <w:tcPr>
            <w:tcW w:type="dxa" w:w="3810"/>
            <w:vAlign w:val="top"/>
          </w:tcPr>
          <w:p>
            <w:pPr>
              <w:spacing w:before="20" w:after="20" w:line="252" w:lineRule="auto"/>
            </w:pPr>
            <w:r>
              <w:rPr>
                <w:b w:val="0"/>
                <w:i w:val="0"/>
                <w:sz w:val="19"/>
              </w:rPr>
              <w:t>Ajuste de una recta por variable y extracción de los residuos</w:t>
            </w:r>
          </w:p>
        </w:tc>
        <w:tc>
          <w:tcPr>
            <w:tcW w:type="dxa" w:w="3429"/>
            <w:vAlign w:val="top"/>
          </w:tcPr>
          <w:p>
            <w:pPr>
              <w:spacing w:before="20" w:after="20" w:line="252" w:lineRule="auto"/>
            </w:pPr>
            <w:r>
              <w:rPr>
                <w:b w:val="0"/>
                <w:i w:val="0"/>
                <w:sz w:val="19"/>
              </w:rPr>
              <w:t>Separar la variación real de la tendencia común</w:t>
            </w:r>
          </w:p>
        </w:tc>
      </w:tr>
      <w:tr>
        <w:trPr>
          <w:cantSplit w:val="true"/>
        </w:trPr>
        <w:tc>
          <w:tcPr>
            <w:tcW w:type="dxa" w:w="2286"/>
            <w:shd w:val="clear" w:color="auto" w:fill="F6F9FC"/>
            <w:vAlign w:val="top"/>
          </w:tcPr>
          <w:p>
            <w:pPr>
              <w:spacing w:before="20" w:after="20" w:line="252" w:lineRule="auto"/>
            </w:pPr>
            <w:r>
              <w:rPr>
                <w:b w:val="0"/>
                <w:i w:val="0"/>
                <w:sz w:val="19"/>
              </w:rPr>
              <w:t>Primera diferencia</w:t>
            </w:r>
          </w:p>
        </w:tc>
        <w:tc>
          <w:tcPr>
            <w:tcW w:type="dxa" w:w="3810"/>
            <w:shd w:val="clear" w:color="auto" w:fill="F6F9FC"/>
            <w:vAlign w:val="top"/>
          </w:tcPr>
          <w:p>
            <w:pPr>
              <w:spacing w:before="20" w:after="20" w:line="252" w:lineRule="auto"/>
            </w:pPr>
            <w:r>
              <w:rPr>
                <w:b w:val="0"/>
                <w:i w:val="0"/>
                <w:sz w:val="19"/>
              </w:rPr>
              <w:t>Resta del valor del año anterior</w:t>
            </w:r>
          </w:p>
        </w:tc>
        <w:tc>
          <w:tcPr>
            <w:tcW w:type="dxa" w:w="3429"/>
            <w:shd w:val="clear" w:color="auto" w:fill="F6F9FC"/>
            <w:vAlign w:val="top"/>
          </w:tcPr>
          <w:p>
            <w:pPr>
              <w:spacing w:before="20" w:after="20" w:line="252" w:lineRule="auto"/>
            </w:pPr>
            <w:r>
              <w:rPr>
                <w:b w:val="0"/>
                <w:i w:val="0"/>
                <w:sz w:val="19"/>
              </w:rPr>
              <w:t>Contrastar el análisis detrendizado con una medida independiente</w:t>
            </w:r>
          </w:p>
        </w:tc>
      </w:tr>
      <w:tr>
        <w:trPr>
          <w:cantSplit w:val="true"/>
        </w:trPr>
        <w:tc>
          <w:tcPr>
            <w:tcW w:type="dxa" w:w="2286"/>
            <w:vAlign w:val="top"/>
          </w:tcPr>
          <w:p>
            <w:pPr>
              <w:spacing w:before="20" w:after="20" w:line="252" w:lineRule="auto"/>
            </w:pPr>
            <w:r>
              <w:rPr>
                <w:b w:val="0"/>
                <w:i w:val="0"/>
                <w:sz w:val="19"/>
              </w:rPr>
              <w:t>Construcción de la variable de período</w:t>
            </w:r>
          </w:p>
        </w:tc>
        <w:tc>
          <w:tcPr>
            <w:tcW w:type="dxa" w:w="3810"/>
            <w:vAlign w:val="top"/>
          </w:tcPr>
          <w:p>
            <w:pPr>
              <w:spacing w:before="20" w:after="20" w:line="252" w:lineRule="auto"/>
            </w:pPr>
            <w:r>
              <w:rPr>
                <w:b w:val="0"/>
                <w:i w:val="0"/>
                <w:sz w:val="19"/>
              </w:rPr>
              <w:t>Indicador binario que separa las dos mitades del período</w:t>
            </w:r>
          </w:p>
        </w:tc>
        <w:tc>
          <w:tcPr>
            <w:tcW w:type="dxa" w:w="3429"/>
            <w:vAlign w:val="top"/>
          </w:tcPr>
          <w:p>
            <w:pPr>
              <w:spacing w:before="20" w:after="20" w:line="252" w:lineRule="auto"/>
            </w:pPr>
            <w:r>
              <w:rPr>
                <w:b w:val="0"/>
                <w:i w:val="0"/>
                <w:sz w:val="19"/>
              </w:rPr>
              <w:t>Sustentar el test de estabilidad temporal y el modelo con interacción</w:t>
            </w:r>
          </w:p>
        </w:tc>
      </w:tr>
      <w:tr>
        <w:trPr>
          <w:cantSplit w:val="true"/>
        </w:trPr>
        <w:tc>
          <w:tcPr>
            <w:tcW w:type="dxa" w:w="2286"/>
            <w:shd w:val="clear" w:color="auto" w:fill="F6F9FC"/>
            <w:vAlign w:val="top"/>
          </w:tcPr>
          <w:p>
            <w:pPr>
              <w:spacing w:before="20" w:after="20" w:line="252" w:lineRule="auto"/>
            </w:pPr>
            <w:r>
              <w:rPr>
                <w:b w:val="0"/>
                <w:i w:val="0"/>
                <w:sz w:val="19"/>
              </w:rPr>
              <w:t>Partición temporal</w:t>
            </w:r>
          </w:p>
        </w:tc>
        <w:tc>
          <w:tcPr>
            <w:tcW w:type="dxa" w:w="3810"/>
            <w:shd w:val="clear" w:color="auto" w:fill="F6F9FC"/>
            <w:vAlign w:val="top"/>
          </w:tcPr>
          <w:p>
            <w:pPr>
              <w:spacing w:before="20" w:after="20" w:line="252" w:lineRule="auto"/>
            </w:pPr>
            <w:r>
              <w:rPr>
                <w:b w:val="0"/>
                <w:i w:val="0"/>
                <w:sz w:val="19"/>
              </w:rPr>
              <w:t>Separación en bloque de entrenamiento y bloque de prueba, sin mezcla aleatoria</w:t>
            </w:r>
          </w:p>
        </w:tc>
        <w:tc>
          <w:tcPr>
            <w:tcW w:type="dxa" w:w="3429"/>
            <w:shd w:val="clear" w:color="auto" w:fill="F6F9FC"/>
            <w:vAlign w:val="top"/>
          </w:tcPr>
          <w:p>
            <w:pPr>
              <w:spacing w:before="20" w:after="20" w:line="252" w:lineRule="auto"/>
            </w:pPr>
            <w:r>
              <w:rPr>
                <w:b w:val="0"/>
                <w:i w:val="0"/>
                <w:sz w:val="19"/>
              </w:rPr>
              <w:t>Evitar que el modelo se evalúe con información del futuro</w:t>
            </w:r>
          </w:p>
        </w:tc>
      </w:tr>
    </w:tbl>
    <w:p>
      <w:pPr>
        <w:spacing w:after="80"/>
      </w:pPr>
    </w:p>
    <w:p>
      <w:pPr>
        <w:pStyle w:val="Heading2"/>
      </w:pPr>
      <w:r>
        <w:t>6.4 Control de tendencia y estacionariedad</w:t>
      </w:r>
    </w:p>
    <w:p>
      <w:r>
        <w:rPr>
          <w:b w:val="0"/>
          <w:i w:val="0"/>
        </w:rPr>
        <w:t xml:space="preserve">La preparación incluye deliberadamente un paso que muchos trabajos omiten y que aquí es determinante: </w:t>
      </w:r>
      <w:r>
        <w:rPr>
          <w:b/>
          <w:i w:val="0"/>
        </w:rPr>
        <w:t>eliminar la tendencia común antes de correlacionar</w:t>
      </w:r>
      <w:r>
        <w:rPr>
          <w:b w:val="0"/>
          <w:i w:val="0"/>
        </w:rPr>
        <w:t>. El procedimiento es:</w:t>
      </w:r>
    </w:p>
    <w:p>
      <w:pPr>
        <w:pStyle w:val="ListBullet"/>
        <w:spacing w:after="40"/>
        <w:ind w:left="397"/>
      </w:pPr>
      <w:r>
        <w:rPr>
          <w:b w:val="0"/>
          <w:i w:val="0"/>
        </w:rPr>
        <w:t>Regresión de cada serie sobre el año, obteniendo la función de tendencia y los residuos.</w:t>
      </w:r>
    </w:p>
    <w:p>
      <w:pPr>
        <w:pStyle w:val="ListBullet"/>
        <w:spacing w:after="40"/>
        <w:ind w:left="397"/>
      </w:pPr>
      <w:r>
        <w:rPr>
          <w:b w:val="0"/>
          <w:i w:val="0"/>
        </w:rPr>
        <w:t>Cálculo de la autocorrelación desfasada un período para cuantificar la inercia de cada serie.</w:t>
      </w:r>
    </w:p>
    <w:p>
      <w:pPr>
        <w:pStyle w:val="ListBullet"/>
        <w:spacing w:after="40"/>
        <w:ind w:left="397"/>
      </w:pPr>
      <w:r>
        <w:rPr>
          <w:b w:val="0"/>
          <w:i w:val="0"/>
        </w:rPr>
        <w:t>Prueba formal de raíz unitaria sobre los residuos, para comprobar que lo que queda es aproximadamente estacionario.</w:t>
      </w:r>
    </w:p>
    <w:p>
      <w:pPr>
        <w:pStyle w:val="ListBullet"/>
        <w:spacing w:after="40"/>
        <w:ind w:left="397"/>
      </w:pPr>
      <w:r>
        <w:rPr>
          <w:b w:val="0"/>
          <w:i w:val="0"/>
        </w:rPr>
        <w:t>Correlación de Pearson entre los residuos, en paralelo con la correlación en niveles.</w:t>
      </w:r>
    </w:p>
    <w:p>
      <w:pPr>
        <w:pStyle w:val="ListBullet"/>
        <w:spacing w:after="40"/>
        <w:ind w:left="397"/>
      </w:pPr>
      <w:r>
        <w:rPr>
          <w:b w:val="0"/>
          <w:i w:val="0"/>
        </w:rPr>
        <w:t>Cálculo de la correlación de las primeras diferencias, como contraste independiente del método de residuos.</w:t>
      </w:r>
    </w:p>
    <w:tbl>
      <w:tblPr>
        <w:tblW w:type="auto" w:w="0"/>
        <w:jc w:val="center"/>
        <w:tblLayout w:type="fixed"/>
        <w:tblLook w:firstColumn="1" w:firstRow="1" w:lastColumn="0" w:lastRow="0" w:noHBand="0" w:noVBand="1" w:val="04A0"/>
      </w:tblPr>
      <w:tblGrid>
        <w:gridCol w:w="9518"/>
      </w:tblGrid>
      <w:tr>
        <w:tc>
          <w:tcPr>
            <w:tcW w:type="dxa" w:w="9524"/>
            <w:tcBorders>
              <w:top w:val="single" w:sz="4" w:space="0" w:color="B9C7D6"/>
              <w:bottom w:val="single" w:sz="4" w:space="0" w:color="B9C7D6"/>
              <w:right w:val="single" w:sz="4" w:space="0" w:color="B9C7D6"/>
              <w:left w:val="single" w:sz="18" w:space="0" w:color="1E3A5F"/>
            </w:tcBorders>
            <w:shd w:val="clear" w:color="auto" w:fill="E8EEF5"/>
          </w:tcPr>
          <w:p>
            <w:pPr>
              <w:spacing w:before="40" w:after="40"/>
            </w:pPr>
            <w:r>
              <w:rPr>
                <w:b/>
                <w:i w:val="0"/>
                <w:color w:val="1E3A5F"/>
                <w:sz w:val="21"/>
              </w:rPr>
              <w:t>Por qué este paso es innegociable</w:t>
            </w:r>
          </w:p>
          <w:p>
            <w:pPr>
              <w:spacing w:after="80"/>
            </w:pPr>
            <w:r>
              <w:rPr>
                <w:b w:val="0"/>
                <w:i w:val="0"/>
                <w:sz w:val="20"/>
              </w:rPr>
              <w:t>Si la correlación en niveles y la detrendizada dan resultados distintos, la asociación en niveles es espuria y no debe presentarse como hallazgo. El informe reportará siempre ambas versiones, con la advertencia interpretativa correspondiente.</w:t>
            </w:r>
          </w:p>
        </w:tc>
      </w:tr>
    </w:tbl>
    <w:p>
      <w:pPr>
        <w:spacing w:after="80"/>
      </w:pPr>
    </w:p>
    <w:p>
      <w:pPr>
        <w:pStyle w:val="Heading2"/>
      </w:pPr>
      <w:r>
        <w:t>6.5 Integración y construcción de los datasets</w:t>
      </w:r>
    </w:p>
    <w:p>
      <w:r>
        <w:rPr>
          <w:b w:val="0"/>
          <w:i w:val="0"/>
        </w:rPr>
        <w:t>La integración se realiza con una unión externa sobre la columna del año, de modo que ninguna fuente quede silenciosamente excluida por un desajuste. Tras la unión se conserva un registro de conteo de filas por año, que permite verificar que el rango resultante sea el esperado.</w:t>
      </w:r>
    </w:p>
    <w:p>
      <w:r>
        <w:rPr>
          <w:b w:val="0"/>
          <w:i w:val="0"/>
        </w:rPr>
        <w:t>El producto de esta fase es un conjunto de tablas derivadas: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2286"/>
            <w:shd w:val="clear" w:color="auto" w:fill="1E3A5F"/>
            <w:vAlign w:val="center"/>
          </w:tcPr>
          <w:p>
            <w:pPr>
              <w:spacing w:before="40" w:after="40"/>
            </w:pPr>
            <w:r>
              <w:rPr>
                <w:b/>
                <w:i w:val="0"/>
                <w:color w:val="FFFFFF"/>
                <w:sz w:val="19"/>
              </w:rPr>
              <w:t>Tabla prevista</w:t>
            </w:r>
          </w:p>
        </w:tc>
        <w:tc>
          <w:tcPr>
            <w:tcW w:type="dxa" w:w="2286"/>
            <w:shd w:val="clear" w:color="auto" w:fill="1E3A5F"/>
            <w:vAlign w:val="center"/>
          </w:tcPr>
          <w:p>
            <w:pPr>
              <w:spacing w:before="40" w:after="40"/>
            </w:pPr>
            <w:r>
              <w:rPr>
                <w:b/>
                <w:i w:val="0"/>
                <w:color w:val="FFFFFF"/>
                <w:sz w:val="19"/>
              </w:rPr>
              <w:t>Grano</w:t>
            </w:r>
          </w:p>
        </w:tc>
        <w:tc>
          <w:tcPr>
            <w:tcW w:type="dxa" w:w="4953"/>
            <w:shd w:val="clear" w:color="auto" w:fill="1E3A5F"/>
            <w:vAlign w:val="center"/>
          </w:tcPr>
          <w:p>
            <w:pPr>
              <w:spacing w:before="40" w:after="40"/>
            </w:pPr>
            <w:r>
              <w:rPr>
                <w:b/>
                <w:i w:val="0"/>
                <w:color w:val="FFFFFF"/>
                <w:sz w:val="19"/>
              </w:rPr>
              <w:t>Contenido</w:t>
            </w:r>
          </w:p>
        </w:tc>
      </w:tr>
      <w:tr>
        <w:trPr>
          <w:cantSplit w:val="true"/>
        </w:trPr>
        <w:tc>
          <w:tcPr>
            <w:tcW w:type="dxa" w:w="2286"/>
            <w:vAlign w:val="top"/>
          </w:tcPr>
          <w:p>
            <w:pPr>
              <w:spacing w:before="20" w:after="20" w:line="252" w:lineRule="auto"/>
            </w:pPr>
            <w:r>
              <w:rPr>
                <w:b w:val="0"/>
                <w:i w:val="0"/>
                <w:sz w:val="19"/>
              </w:rPr>
              <w:t>Dataset nacional</w:t>
            </w:r>
          </w:p>
        </w:tc>
        <w:tc>
          <w:tcPr>
            <w:tcW w:type="dxa" w:w="2286"/>
            <w:vAlign w:val="top"/>
          </w:tcPr>
          <w:p>
            <w:pPr>
              <w:spacing w:before="20" w:after="20" w:line="252" w:lineRule="auto"/>
            </w:pPr>
            <w:r>
              <w:rPr>
                <w:b w:val="0"/>
                <w:i w:val="0"/>
                <w:sz w:val="19"/>
              </w:rPr>
              <w:t>Una fila por año</w:t>
            </w:r>
          </w:p>
        </w:tc>
        <w:tc>
          <w:tcPr>
            <w:tcW w:type="dxa" w:w="4953"/>
            <w:vAlign w:val="top"/>
          </w:tcPr>
          <w:p>
            <w:pPr>
              <w:spacing w:before="20" w:after="20" w:line="252" w:lineRule="auto"/>
            </w:pPr>
            <w:r>
              <w:rPr>
                <w:b w:val="0"/>
                <w:i w:val="0"/>
                <w:sz w:val="19"/>
              </w:rPr>
              <w:t>Series del análisis principal, unidas por año y depuradas</w:t>
            </w:r>
          </w:p>
        </w:tc>
      </w:tr>
      <w:tr>
        <w:trPr>
          <w:cantSplit w:val="true"/>
        </w:trPr>
        <w:tc>
          <w:tcPr>
            <w:tcW w:type="dxa" w:w="2286"/>
            <w:shd w:val="clear" w:color="auto" w:fill="F6F9FC"/>
            <w:vAlign w:val="top"/>
          </w:tcPr>
          <w:p>
            <w:pPr>
              <w:spacing w:before="20" w:after="20" w:line="252" w:lineRule="auto"/>
            </w:pPr>
            <w:r>
              <w:rPr>
                <w:b w:val="0"/>
                <w:i w:val="0"/>
                <w:sz w:val="19"/>
              </w:rPr>
              <w:t>Dataset provincial</w:t>
            </w:r>
          </w:p>
        </w:tc>
        <w:tc>
          <w:tcPr>
            <w:tcW w:type="dxa" w:w="2286"/>
            <w:shd w:val="clear" w:color="auto" w:fill="F6F9FC"/>
            <w:vAlign w:val="top"/>
          </w:tcPr>
          <w:p>
            <w:pPr>
              <w:spacing w:before="20" w:after="20" w:line="252" w:lineRule="auto"/>
            </w:pPr>
            <w:r>
              <w:rPr>
                <w:b w:val="0"/>
                <w:i w:val="0"/>
                <w:sz w:val="19"/>
              </w:rPr>
              <w:t>Una fila por jurisdicción y año</w:t>
            </w:r>
          </w:p>
        </w:tc>
        <w:tc>
          <w:tcPr>
            <w:tcW w:type="dxa" w:w="4953"/>
            <w:shd w:val="clear" w:color="auto" w:fill="F6F9FC"/>
            <w:vAlign w:val="top"/>
          </w:tcPr>
          <w:p>
            <w:pPr>
              <w:spacing w:before="20" w:after="20" w:line="252" w:lineRule="auto"/>
            </w:pPr>
            <w:r>
              <w:rPr>
                <w:b w:val="0"/>
                <w:i w:val="0"/>
                <w:sz w:val="19"/>
              </w:rPr>
              <w:t>Clima y contexto provincial</w:t>
            </w:r>
          </w:p>
        </w:tc>
      </w:tr>
      <w:tr>
        <w:trPr>
          <w:cantSplit w:val="true"/>
        </w:trPr>
        <w:tc>
          <w:tcPr>
            <w:tcW w:type="dxa" w:w="2286"/>
            <w:vAlign w:val="top"/>
          </w:tcPr>
          <w:p>
            <w:pPr>
              <w:spacing w:before="20" w:after="20" w:line="252" w:lineRule="auto"/>
            </w:pPr>
            <w:r>
              <w:rPr>
                <w:b w:val="0"/>
                <w:i w:val="0"/>
                <w:sz w:val="19"/>
              </w:rPr>
              <w:t>Clima anual provincial</w:t>
            </w:r>
          </w:p>
        </w:tc>
        <w:tc>
          <w:tcPr>
            <w:tcW w:type="dxa" w:w="2286"/>
            <w:vAlign w:val="top"/>
          </w:tcPr>
          <w:p>
            <w:pPr>
              <w:spacing w:before="20" w:after="20" w:line="252" w:lineRule="auto"/>
            </w:pPr>
            <w:r>
              <w:rPr>
                <w:b w:val="0"/>
                <w:i w:val="0"/>
                <w:sz w:val="19"/>
              </w:rPr>
              <w:t>Una fila por jurisdicción y año</w:t>
            </w:r>
          </w:p>
        </w:tc>
        <w:tc>
          <w:tcPr>
            <w:tcW w:type="dxa" w:w="4953"/>
            <w:vAlign w:val="top"/>
          </w:tcPr>
          <w:p>
            <w:pPr>
              <w:spacing w:before="20" w:after="20" w:line="252" w:lineRule="auto"/>
            </w:pPr>
            <w:r>
              <w:rPr>
                <w:b w:val="0"/>
                <w:i w:val="0"/>
                <w:sz w:val="19"/>
              </w:rPr>
              <w:t>Agregación anual de los indicadores mensuales</w:t>
            </w:r>
          </w:p>
        </w:tc>
      </w:tr>
      <w:tr>
        <w:trPr>
          <w:cantSplit w:val="true"/>
        </w:trPr>
        <w:tc>
          <w:tcPr>
            <w:tcW w:type="dxa" w:w="2286"/>
            <w:shd w:val="clear" w:color="auto" w:fill="F6F9FC"/>
            <w:vAlign w:val="top"/>
          </w:tcPr>
          <w:p>
            <w:pPr>
              <w:spacing w:before="20" w:after="20" w:line="252" w:lineRule="auto"/>
            </w:pPr>
            <w:r>
              <w:rPr>
                <w:b w:val="0"/>
                <w:i w:val="0"/>
                <w:sz w:val="19"/>
              </w:rPr>
              <w:t>Tendencias provinciales</w:t>
            </w:r>
          </w:p>
        </w:tc>
        <w:tc>
          <w:tcPr>
            <w:tcW w:type="dxa" w:w="2286"/>
            <w:shd w:val="clear" w:color="auto" w:fill="F6F9FC"/>
            <w:vAlign w:val="top"/>
          </w:tcPr>
          <w:p>
            <w:pPr>
              <w:spacing w:before="20" w:after="20" w:line="252" w:lineRule="auto"/>
            </w:pPr>
            <w:r>
              <w:rPr>
                <w:b w:val="0"/>
                <w:i w:val="0"/>
                <w:sz w:val="19"/>
              </w:rPr>
              <w:t>Una fila por jurisdicción</w:t>
            </w:r>
          </w:p>
        </w:tc>
        <w:tc>
          <w:tcPr>
            <w:tcW w:type="dxa" w:w="4953"/>
            <w:shd w:val="clear" w:color="auto" w:fill="F6F9FC"/>
            <w:vAlign w:val="top"/>
          </w:tcPr>
          <w:p>
            <w:pPr>
              <w:spacing w:before="20" w:after="20" w:line="252" w:lineRule="auto"/>
            </w:pPr>
            <w:r>
              <w:rPr>
                <w:b w:val="0"/>
                <w:i w:val="0"/>
                <w:sz w:val="19"/>
              </w:rPr>
              <w:t>Tendencia estimada y proyección simple por localidad</w:t>
            </w:r>
          </w:p>
        </w:tc>
      </w:tr>
      <w:tr>
        <w:trPr>
          <w:cantSplit w:val="true"/>
        </w:trPr>
        <w:tc>
          <w:tcPr>
            <w:tcW w:type="dxa" w:w="2286"/>
            <w:vAlign w:val="top"/>
          </w:tcPr>
          <w:p>
            <w:pPr>
              <w:spacing w:before="20" w:after="20" w:line="252" w:lineRule="auto"/>
            </w:pPr>
            <w:r>
              <w:rPr>
                <w:b w:val="0"/>
                <w:i w:val="0"/>
                <w:sz w:val="19"/>
              </w:rPr>
              <w:t>Ficha de fuentes</w:t>
            </w:r>
          </w:p>
        </w:tc>
        <w:tc>
          <w:tcPr>
            <w:tcW w:type="dxa" w:w="2286"/>
            <w:vAlign w:val="top"/>
          </w:tcPr>
          <w:p>
            <w:pPr>
              <w:spacing w:before="20" w:after="20" w:line="252" w:lineRule="auto"/>
            </w:pPr>
            <w:r>
              <w:rPr>
                <w:b w:val="0"/>
                <w:i w:val="0"/>
                <w:sz w:val="19"/>
              </w:rPr>
              <w:t>Una fila por fuente</w:t>
            </w:r>
          </w:p>
        </w:tc>
        <w:tc>
          <w:tcPr>
            <w:tcW w:type="dxa" w:w="4953"/>
            <w:vAlign w:val="top"/>
          </w:tcPr>
          <w:p>
            <w:pPr>
              <w:spacing w:before="20" w:after="20" w:line="252" w:lineRule="auto"/>
            </w:pPr>
            <w:r>
              <w:rPr>
                <w:b w:val="0"/>
                <w:i w:val="0"/>
                <w:sz w:val="19"/>
              </w:rPr>
              <w:t>Metadatos de trazabilidad</w:t>
            </w:r>
          </w:p>
        </w:tc>
      </w:tr>
    </w:tbl>
    <w:p>
      <w:pPr>
        <w:spacing w:after="80"/>
      </w:pPr>
    </w:p>
    <w:p>
      <w:pPr>
        <w:pStyle w:val="Heading2"/>
      </w:pPr>
      <w:r>
        <w:t>6.6 Formato final y controles de calidad</w:t>
      </w:r>
    </w:p>
    <w:p>
      <w:r>
        <w:rPr>
          <w:b w:val="0"/>
          <w:i w:val="0"/>
        </w:rPr>
        <w:t>La tabla de análisis final debe cumplir seis condiciones verificables con una línea de código. Ninguna fase posterior comienza hasta que todas se cumplen.</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1714"/>
            <w:shd w:val="clear" w:color="auto" w:fill="1E3A5F"/>
            <w:vAlign w:val="center"/>
          </w:tcPr>
          <w:p>
            <w:pPr>
              <w:spacing w:before="40" w:after="40"/>
            </w:pPr>
            <w:r>
              <w:rPr>
                <w:b/>
                <w:i w:val="0"/>
                <w:color w:val="FFFFFF"/>
                <w:sz w:val="19"/>
              </w:rPr>
              <w:t>Control</w:t>
            </w:r>
          </w:p>
        </w:tc>
        <w:tc>
          <w:tcPr>
            <w:tcW w:type="dxa" w:w="4191"/>
            <w:shd w:val="clear" w:color="auto" w:fill="1E3A5F"/>
            <w:vAlign w:val="center"/>
          </w:tcPr>
          <w:p>
            <w:pPr>
              <w:spacing w:before="40" w:after="40"/>
            </w:pPr>
            <w:r>
              <w:rPr>
                <w:b/>
                <w:i w:val="0"/>
                <w:color w:val="FFFFFF"/>
                <w:sz w:val="19"/>
              </w:rPr>
              <w:t>Criterio de aceptación</w:t>
            </w:r>
          </w:p>
        </w:tc>
        <w:tc>
          <w:tcPr>
            <w:tcW w:type="dxa" w:w="3619"/>
            <w:shd w:val="clear" w:color="auto" w:fill="1E3A5F"/>
            <w:vAlign w:val="center"/>
          </w:tcPr>
          <w:p>
            <w:pPr>
              <w:spacing w:before="40" w:after="40"/>
            </w:pPr>
            <w:r>
              <w:rPr>
                <w:b/>
                <w:i w:val="0"/>
                <w:color w:val="FFFFFF"/>
                <w:sz w:val="19"/>
              </w:rPr>
              <w:t>Verificación</w:t>
            </w:r>
          </w:p>
        </w:tc>
      </w:tr>
      <w:tr>
        <w:trPr>
          <w:cantSplit w:val="true"/>
        </w:trPr>
        <w:tc>
          <w:tcPr>
            <w:tcW w:type="dxa" w:w="1714"/>
            <w:vAlign w:val="top"/>
          </w:tcPr>
          <w:p>
            <w:pPr>
              <w:spacing w:before="20" w:after="20" w:line="252" w:lineRule="auto"/>
            </w:pPr>
            <w:r>
              <w:rPr>
                <w:b w:val="0"/>
                <w:i w:val="0"/>
                <w:sz w:val="19"/>
              </w:rPr>
              <w:t>Unicidad</w:t>
            </w:r>
          </w:p>
        </w:tc>
        <w:tc>
          <w:tcPr>
            <w:tcW w:type="dxa" w:w="4191"/>
            <w:vAlign w:val="top"/>
          </w:tcPr>
          <w:p>
            <w:pPr>
              <w:spacing w:before="20" w:after="20" w:line="252" w:lineRule="auto"/>
            </w:pPr>
            <w:r>
              <w:rPr>
                <w:b w:val="0"/>
                <w:i w:val="0"/>
                <w:sz w:val="19"/>
              </w:rPr>
              <w:t>Un único registro por año</w:t>
            </w:r>
          </w:p>
        </w:tc>
        <w:tc>
          <w:tcPr>
            <w:tcW w:type="dxa" w:w="3619"/>
            <w:vAlign w:val="top"/>
          </w:tcPr>
          <w:p>
            <w:pPr>
              <w:spacing w:before="20" w:after="20" w:line="252" w:lineRule="auto"/>
            </w:pPr>
            <w:r>
              <w:rPr>
                <w:b w:val="0"/>
                <w:i w:val="0"/>
                <w:sz w:val="19"/>
              </w:rPr>
              <w:t>Conteo de filas por año</w:t>
            </w:r>
          </w:p>
        </w:tc>
      </w:tr>
      <w:tr>
        <w:trPr>
          <w:cantSplit w:val="true"/>
        </w:trPr>
        <w:tc>
          <w:tcPr>
            <w:tcW w:type="dxa" w:w="1714"/>
            <w:shd w:val="clear" w:color="auto" w:fill="F6F9FC"/>
            <w:vAlign w:val="top"/>
          </w:tcPr>
          <w:p>
            <w:pPr>
              <w:spacing w:before="20" w:after="20" w:line="252" w:lineRule="auto"/>
            </w:pPr>
            <w:r>
              <w:rPr>
                <w:b w:val="0"/>
                <w:i w:val="0"/>
                <w:sz w:val="19"/>
              </w:rPr>
              <w:t>Completitud</w:t>
            </w:r>
          </w:p>
        </w:tc>
        <w:tc>
          <w:tcPr>
            <w:tcW w:type="dxa" w:w="4191"/>
            <w:shd w:val="clear" w:color="auto" w:fill="F6F9FC"/>
            <w:vAlign w:val="top"/>
          </w:tcPr>
          <w:p>
            <w:pPr>
              <w:spacing w:before="20" w:after="20" w:line="252" w:lineRule="auto"/>
            </w:pPr>
            <w:r>
              <w:rPr>
                <w:b w:val="0"/>
                <w:i w:val="0"/>
                <w:sz w:val="19"/>
              </w:rPr>
              <w:t>Sin valores faltantes en las variables del análisis</w:t>
            </w:r>
          </w:p>
        </w:tc>
        <w:tc>
          <w:tcPr>
            <w:tcW w:type="dxa" w:w="3619"/>
            <w:shd w:val="clear" w:color="auto" w:fill="F6F9FC"/>
            <w:vAlign w:val="top"/>
          </w:tcPr>
          <w:p>
            <w:pPr>
              <w:spacing w:before="20" w:after="20" w:line="252" w:lineRule="auto"/>
            </w:pPr>
            <w:r>
              <w:rPr>
                <w:b w:val="0"/>
                <w:i w:val="0"/>
                <w:sz w:val="19"/>
              </w:rPr>
              <w:t>Conteo de nulos por columna</w:t>
            </w:r>
          </w:p>
        </w:tc>
      </w:tr>
      <w:tr>
        <w:trPr>
          <w:cantSplit w:val="true"/>
        </w:trPr>
        <w:tc>
          <w:tcPr>
            <w:tcW w:type="dxa" w:w="1714"/>
            <w:vAlign w:val="top"/>
          </w:tcPr>
          <w:p>
            <w:pPr>
              <w:spacing w:before="20" w:after="20" w:line="252" w:lineRule="auto"/>
            </w:pPr>
            <w:r>
              <w:rPr>
                <w:b w:val="0"/>
                <w:i w:val="0"/>
                <w:sz w:val="19"/>
              </w:rPr>
              <w:t>Cobertura</w:t>
            </w:r>
          </w:p>
        </w:tc>
        <w:tc>
          <w:tcPr>
            <w:tcW w:type="dxa" w:w="4191"/>
            <w:vAlign w:val="top"/>
          </w:tcPr>
          <w:p>
            <w:pPr>
              <w:spacing w:before="20" w:after="20" w:line="252" w:lineRule="auto"/>
            </w:pPr>
            <w:r>
              <w:rPr>
                <w:b w:val="0"/>
                <w:i w:val="0"/>
                <w:sz w:val="19"/>
              </w:rPr>
              <w:t>Rango de años coincidente con el período declarado</w:t>
            </w:r>
          </w:p>
        </w:tc>
        <w:tc>
          <w:tcPr>
            <w:tcW w:type="dxa" w:w="3619"/>
            <w:vAlign w:val="top"/>
          </w:tcPr>
          <w:p>
            <w:pPr>
              <w:spacing w:before="20" w:after="20" w:line="252" w:lineRule="auto"/>
            </w:pPr>
            <w:r>
              <w:rPr>
                <w:b w:val="0"/>
                <w:i w:val="0"/>
                <w:sz w:val="19"/>
              </w:rPr>
              <w:t>Máximo y mínimo del año</w:t>
            </w:r>
          </w:p>
        </w:tc>
      </w:tr>
      <w:tr>
        <w:trPr>
          <w:cantSplit w:val="true"/>
        </w:trPr>
        <w:tc>
          <w:tcPr>
            <w:tcW w:type="dxa" w:w="1714"/>
            <w:shd w:val="clear" w:color="auto" w:fill="F6F9FC"/>
            <w:vAlign w:val="top"/>
          </w:tcPr>
          <w:p>
            <w:pPr>
              <w:spacing w:before="20" w:after="20" w:line="252" w:lineRule="auto"/>
            </w:pPr>
            <w:r>
              <w:rPr>
                <w:b w:val="0"/>
                <w:i w:val="0"/>
                <w:sz w:val="19"/>
              </w:rPr>
              <w:t>Consistencia</w:t>
            </w:r>
          </w:p>
        </w:tc>
        <w:tc>
          <w:tcPr>
            <w:tcW w:type="dxa" w:w="4191"/>
            <w:shd w:val="clear" w:color="auto" w:fill="F6F9FC"/>
            <w:vAlign w:val="top"/>
          </w:tcPr>
          <w:p>
            <w:pPr>
              <w:spacing w:before="20" w:after="20" w:line="252" w:lineRule="auto"/>
            </w:pPr>
            <w:r>
              <w:rPr>
                <w:b w:val="0"/>
                <w:i w:val="0"/>
                <w:sz w:val="19"/>
              </w:rPr>
              <w:t>Series equivalentes expresadas en la misma unidad</w:t>
            </w:r>
          </w:p>
        </w:tc>
        <w:tc>
          <w:tcPr>
            <w:tcW w:type="dxa" w:w="3619"/>
            <w:shd w:val="clear" w:color="auto" w:fill="F6F9FC"/>
            <w:vAlign w:val="top"/>
          </w:tcPr>
          <w:p>
            <w:pPr>
              <w:spacing w:before="20" w:after="20" w:line="252" w:lineRule="auto"/>
            </w:pPr>
            <w:r>
              <w:rPr>
                <w:b w:val="0"/>
                <w:i w:val="0"/>
                <w:sz w:val="19"/>
              </w:rPr>
              <w:t>Comparación de magnitudes y documentadas las conversiones</w:t>
            </w:r>
          </w:p>
        </w:tc>
      </w:tr>
      <w:tr>
        <w:trPr>
          <w:cantSplit w:val="true"/>
        </w:trPr>
        <w:tc>
          <w:tcPr>
            <w:tcW w:type="dxa" w:w="1714"/>
            <w:vAlign w:val="top"/>
          </w:tcPr>
          <w:p>
            <w:pPr>
              <w:spacing w:before="20" w:after="20" w:line="252" w:lineRule="auto"/>
            </w:pPr>
            <w:r>
              <w:rPr>
                <w:b w:val="0"/>
                <w:i w:val="0"/>
                <w:sz w:val="19"/>
              </w:rPr>
              <w:t>Orden</w:t>
            </w:r>
          </w:p>
        </w:tc>
        <w:tc>
          <w:tcPr>
            <w:tcW w:type="dxa" w:w="4191"/>
            <w:vAlign w:val="top"/>
          </w:tcPr>
          <w:p>
            <w:pPr>
              <w:spacing w:before="20" w:after="20" w:line="252" w:lineRule="auto"/>
            </w:pPr>
            <w:r>
              <w:rPr>
                <w:b w:val="0"/>
                <w:i w:val="0"/>
                <w:sz w:val="19"/>
              </w:rPr>
              <w:t>Filas ordenadas cronológicamente</w:t>
            </w:r>
          </w:p>
        </w:tc>
        <w:tc>
          <w:tcPr>
            <w:tcW w:type="dxa" w:w="3619"/>
            <w:vAlign w:val="top"/>
          </w:tcPr>
          <w:p>
            <w:pPr>
              <w:spacing w:before="20" w:after="20" w:line="252" w:lineRule="auto"/>
            </w:pPr>
            <w:r>
              <w:rPr>
                <w:b w:val="0"/>
                <w:i w:val="0"/>
                <w:sz w:val="19"/>
              </w:rPr>
              <w:t>Verificación de monotonía del año</w:t>
            </w:r>
          </w:p>
        </w:tc>
      </w:tr>
      <w:tr>
        <w:trPr>
          <w:cantSplit w:val="true"/>
        </w:trPr>
        <w:tc>
          <w:tcPr>
            <w:tcW w:type="dxa" w:w="1714"/>
            <w:shd w:val="clear" w:color="auto" w:fill="F6F9FC"/>
            <w:vAlign w:val="top"/>
          </w:tcPr>
          <w:p>
            <w:pPr>
              <w:spacing w:before="20" w:after="20" w:line="252" w:lineRule="auto"/>
            </w:pPr>
            <w:r>
              <w:rPr>
                <w:b w:val="0"/>
                <w:i w:val="0"/>
                <w:sz w:val="19"/>
              </w:rPr>
              <w:t>Trazabilidad</w:t>
            </w:r>
          </w:p>
        </w:tc>
        <w:tc>
          <w:tcPr>
            <w:tcW w:type="dxa" w:w="4191"/>
            <w:shd w:val="clear" w:color="auto" w:fill="F6F9FC"/>
            <w:vAlign w:val="top"/>
          </w:tcPr>
          <w:p>
            <w:pPr>
              <w:spacing w:before="20" w:after="20" w:line="252" w:lineRule="auto"/>
            </w:pPr>
            <w:r>
              <w:rPr>
                <w:b w:val="0"/>
                <w:i w:val="0"/>
                <w:sz w:val="19"/>
              </w:rPr>
              <w:t>Cada columna con su fuente identificada</w:t>
            </w:r>
          </w:p>
        </w:tc>
        <w:tc>
          <w:tcPr>
            <w:tcW w:type="dxa" w:w="3619"/>
            <w:shd w:val="clear" w:color="auto" w:fill="F6F9FC"/>
            <w:vAlign w:val="top"/>
          </w:tcPr>
          <w:p>
            <w:pPr>
              <w:spacing w:before="20" w:after="20" w:line="252" w:lineRule="auto"/>
            </w:pPr>
            <w:r>
              <w:rPr>
                <w:b w:val="0"/>
                <w:i w:val="0"/>
                <w:sz w:val="19"/>
              </w:rPr>
              <w:t>Cruce con la ficha de metadatos</w:t>
            </w:r>
          </w:p>
        </w:tc>
      </w:tr>
    </w:tbl>
    <w:p>
      <w:pPr>
        <w:spacing w:after="80"/>
      </w:pPr>
    </w:p>
    <w:p>
      <w:pPr>
        <w:pStyle w:val="Heading2"/>
      </w:pPr>
      <w:r>
        <w:t>6.7 Partición de los datos</w:t>
      </w:r>
    </w:p>
    <w:p>
      <w:r>
        <w:rPr>
          <w:b w:val="0"/>
          <w:i w:val="0"/>
        </w:rPr>
        <w:t>Para los objetivos que usan modelo se definen dos bloques disjuntos: un bloque de entrenamiento con los años más tempranos y un bloque de prueba con los años más recientes, de tamaño suficiente para contener entre 12 y 15 observaciones. La partición es estrictamente temporal y se documenta en el informe, junto con el número de observaciones de cada bloque.</w:t>
      </w:r>
    </w:p>
    <w:p>
      <w:pPr>
        <w:pStyle w:val="Heading1"/>
        <w:pBdr>
          <w:bottom w:val="single" w:sz="6" w:space="6" w:color="B9C7D6"/>
        </w:pBdr>
      </w:pPr>
      <w:r>
        <w:t>7. Procedimiento de análisis por objetivo</w:t>
      </w:r>
    </w:p>
    <w:p>
      <w:r>
        <w:rPr>
          <w:b w:val="0"/>
          <w:i w:val="0"/>
        </w:rPr>
        <w:t>Cada objetivo se atiende con un procedimiento fijo, compuesto por pasos enumerados, con una métrica de salida y una regla de lectura. Así, la ejecución es repetible por cualquier integrante.</w:t>
      </w:r>
    </w:p>
    <w:p>
      <w:pPr>
        <w:pStyle w:val="Heading2"/>
      </w:pPr>
      <w:r>
        <w:t>7.1 Objetivo 1 — Descripción de cada variable</w:t>
      </w:r>
    </w:p>
    <w:p>
      <w:r>
        <w:rPr>
          <w:b/>
          <w:i w:val="0"/>
        </w:rPr>
        <w:t>Propósito:</w:t>
      </w:r>
      <w:r>
        <w:rPr>
          <w:b w:val="0"/>
          <w:i w:val="0"/>
        </w:rPr>
        <w:t xml:space="preserve"> establecer qué hizo cada variable a lo largo del período, antes de relacionarla con ninguna otra.</w:t>
      </w:r>
    </w:p>
    <w:p>
      <w:r>
        <w:rPr>
          <w:b/>
          <w:i w:val="0"/>
        </w:rPr>
        <w:t>Procedimiento:</w:t>
      </w:r>
    </w:p>
    <w:p>
      <w:pPr>
        <w:pStyle w:val="ListBullet"/>
        <w:spacing w:after="40"/>
        <w:ind w:left="397"/>
      </w:pPr>
      <w:r>
        <w:rPr>
          <w:b w:val="0"/>
          <w:i w:val="0"/>
        </w:rPr>
        <w:t>Gráfico de línea de la variable contra el año, con medias móviles que faciliten la lectura del movimiento de fondo.</w:t>
      </w:r>
    </w:p>
    <w:p>
      <w:pPr>
        <w:pStyle w:val="ListBullet"/>
        <w:spacing w:after="40"/>
        <w:ind w:left="397"/>
      </w:pPr>
      <w:r>
        <w:rPr>
          <w:b w:val="0"/>
          <w:i w:val="0"/>
        </w:rPr>
        <w:t>Cálculo de mínimo, máximo, media y mediana; los años en que se alcanzan los extremos.</w:t>
      </w:r>
    </w:p>
    <w:p>
      <w:pPr>
        <w:pStyle w:val="ListBullet"/>
        <w:spacing w:after="40"/>
        <w:ind w:left="397"/>
      </w:pPr>
      <w:r>
        <w:rPr>
          <w:b w:val="0"/>
          <w:i w:val="0"/>
        </w:rPr>
        <w:t>Regresión lineal simple de la variable sobre el año, con coeficiente, error estándar, estadístico t y p-valor.</w:t>
      </w:r>
    </w:p>
    <w:p>
      <w:pPr>
        <w:pStyle w:val="ListBullet"/>
        <w:spacing w:after="40"/>
        <w:ind w:left="397"/>
      </w:pPr>
      <w:r>
        <w:rPr>
          <w:b w:val="0"/>
          <w:i w:val="0"/>
        </w:rPr>
        <w:t>Detección de valores atípicos por rango intercuartílico, que se contrastan con el contexto histórico antes de ser aceptados o descartados.</w:t>
      </w:r>
    </w:p>
    <w:p>
      <w:r>
        <w:rPr>
          <w:b/>
          <w:i w:val="0"/>
        </w:rPr>
        <w:t>Métrica de salida:</w:t>
      </w:r>
      <w:r>
        <w:rPr>
          <w:b w:val="0"/>
          <w:i w:val="0"/>
        </w:rPr>
        <w:t xml:space="preserve"> tabla con una fila por variable y columnas para extremos, media, tendencia y significancia.</w:t>
      </w:r>
    </w:p>
    <w:p>
      <w:r>
        <w:rPr>
          <w:b/>
          <w:i w:val="0"/>
        </w:rPr>
        <w:t>Regla de lectura:</w:t>
      </w:r>
      <w:r>
        <w:rPr>
          <w:b w:val="0"/>
          <w:i w:val="0"/>
        </w:rPr>
        <w:t xml:space="preserve"> se considera que una variable tiene tendencia significativa cuando el p-valor de la regresión sobre el tiempo es menor que el umbral fijado. La magnitud del cambio se lee en el coeficiente, expresado en unidades de la variable por año.</w:t>
      </w:r>
    </w:p>
    <w:p>
      <w:pPr>
        <w:pStyle w:val="Heading2"/>
      </w:pPr>
      <w:r>
        <w:t>7.2 Objetivo 2 — Relación entre el PBI y el clima</w:t>
      </w:r>
    </w:p>
    <w:p>
      <w:r>
        <w:rPr>
          <w:b/>
          <w:i w:val="0"/>
        </w:rPr>
        <w:t>Propósito:</w:t>
      </w:r>
      <w:r>
        <w:rPr>
          <w:b w:val="0"/>
          <w:i w:val="0"/>
        </w:rPr>
        <w:t xml:space="preserve"> determinar si existe asociación entre la variable económica y las climáticas.</w:t>
      </w:r>
    </w:p>
    <w:p>
      <w:r>
        <w:rPr>
          <w:b/>
          <w:i w:val="0"/>
        </w:rPr>
        <w:t>Procedimiento:</w:t>
      </w:r>
    </w:p>
    <w:p>
      <w:pPr>
        <w:pStyle w:val="ListBullet"/>
        <w:spacing w:after="40"/>
        <w:ind w:left="397"/>
      </w:pPr>
      <w:r>
        <w:rPr>
          <w:b w:val="0"/>
          <w:i w:val="0"/>
        </w:rPr>
        <w:t>Matriz de correlación de Pearson entre las cuatro variables, con p-valor y marca de significatividad en cada celda.</w:t>
      </w:r>
    </w:p>
    <w:p>
      <w:pPr>
        <w:pStyle w:val="ListBullet"/>
        <w:spacing w:after="40"/>
        <w:ind w:left="397"/>
      </w:pPr>
      <w:r>
        <w:rPr>
          <w:b w:val="0"/>
          <w:i w:val="0"/>
        </w:rPr>
        <w:t>Repetición de la matriz sobre los residuos de la regresión temporal, para eliminar la tendencia común.</w:t>
      </w:r>
    </w:p>
    <w:p>
      <w:pPr>
        <w:pStyle w:val="ListBullet"/>
        <w:spacing w:after="40"/>
        <w:ind w:left="397"/>
      </w:pPr>
      <w:r>
        <w:rPr>
          <w:b w:val="0"/>
          <w:i w:val="0"/>
        </w:rPr>
        <w:t>Contraste con la correlación de las primeras diferencias.</w:t>
      </w:r>
    </w:p>
    <w:p>
      <w:pPr>
        <w:pStyle w:val="ListBullet"/>
        <w:spacing w:after="40"/>
        <w:ind w:left="397"/>
      </w:pPr>
      <w:r>
        <w:rPr>
          <w:b w:val="0"/>
          <w:i w:val="0"/>
        </w:rPr>
        <w:t>Comparación del PBI per cápita en niveles frente a su versión detrendizada, como análisis de sensibilidad sobre la elección de la variable económica.</w:t>
      </w:r>
    </w:p>
    <w:p>
      <w:r>
        <w:rPr>
          <w:b/>
          <w:i w:val="0"/>
        </w:rPr>
        <w:t>Métrica de salida:</w:t>
      </w:r>
      <w:r>
        <w:rPr>
          <w:b w:val="0"/>
          <w:i w:val="0"/>
        </w:rPr>
        <w:t xml:space="preserve"> matriz doble —en niveles y detrendizada— con los p-valores correspondientes.</w:t>
      </w:r>
    </w:p>
    <w:p>
      <w:r>
        <w:rPr>
          <w:b/>
          <w:i w:val="0"/>
        </w:rPr>
        <w:t>Regla de lectura:</w:t>
      </w:r>
      <w:r>
        <w:rPr>
          <w:b w:val="0"/>
          <w:i w:val="0"/>
        </w:rPr>
        <w:t xml:space="preserve"> una correlación en niveles que desaparece al detrendar es una </w:t>
      </w:r>
      <w:r>
        <w:rPr>
          <w:b/>
          <w:i w:val="0"/>
        </w:rPr>
        <w:t>correlación espuria</w:t>
      </w:r>
      <w:r>
        <w:rPr>
          <w:b w:val="0"/>
          <w:i w:val="0"/>
        </w:rPr>
        <w:t>. El informe debe nombrar de manera explícita esa distinción en todos los casos.</w:t>
      </w:r>
    </w:p>
    <w:p>
      <w:pPr>
        <w:pStyle w:val="Heading2"/>
      </w:pPr>
      <w:r>
        <w:t>7.3 Objetivo 3 — Multicolinealidad entre las variables predictoras</w:t>
      </w:r>
    </w:p>
    <w:p>
      <w:r>
        <w:rPr>
          <w:b/>
          <w:i w:val="0"/>
        </w:rPr>
        <w:t>Propósito:</w:t>
      </w:r>
      <w:r>
        <w:rPr>
          <w:b w:val="0"/>
          <w:i w:val="0"/>
        </w:rPr>
        <w:t xml:space="preserve"> comprobar que el PBI, los GEI y la lluvia puedan entrar juntos en un mismo modelo sin que una variable explique lo que explica otra.</w:t>
      </w:r>
    </w:p>
    <w:p>
      <w:r>
        <w:rPr>
          <w:b/>
          <w:i w:val="0"/>
        </w:rPr>
        <w:t>Procedimiento:</w:t>
      </w:r>
    </w:p>
    <w:p>
      <w:pPr>
        <w:pStyle w:val="ListBullet"/>
        <w:spacing w:after="40"/>
        <w:ind w:left="397"/>
      </w:pPr>
      <w:r>
        <w:rPr>
          <w:b w:val="0"/>
          <w:i w:val="0"/>
        </w:rPr>
        <w:t>Matriz de correlación entre cada par de variables predictoras, con p-valor.</w:t>
      </w:r>
    </w:p>
    <w:p>
      <w:pPr>
        <w:pStyle w:val="ListBullet"/>
        <w:spacing w:after="40"/>
        <w:ind w:left="397"/>
      </w:pPr>
      <w:r>
        <w:rPr>
          <w:b w:val="0"/>
          <w:i w:val="0"/>
        </w:rPr>
        <w:t>Cálculo del Variance Inflation Factor para cada variable, regresándola sobre el resto.</w:t>
      </w:r>
    </w:p>
    <w:p>
      <w:pPr>
        <w:pStyle w:val="ListBullet"/>
        <w:spacing w:after="40"/>
        <w:ind w:left="397"/>
      </w:pPr>
      <w:r>
        <w:rPr>
          <w:b w:val="0"/>
          <w:i w:val="0"/>
        </w:rPr>
        <w:t>Repetición del análisis completo con la serie alternativa de emisiones y con el inventario oficial, para verificar que la conclusión no dependa de la elección de fuente.</w:t>
      </w:r>
    </w:p>
    <w:p>
      <w:r>
        <w:rPr>
          <w:b/>
          <w:i w:val="0"/>
        </w:rPr>
        <w:t>Métrica de salida:</w:t>
      </w:r>
      <w:r>
        <w:rPr>
          <w:b w:val="0"/>
          <w:i w:val="0"/>
        </w:rPr>
        <w:t xml:space="preserve"> tabla de pares y tabla de VIF, con el umbral de referencia declarado.</w:t>
      </w:r>
    </w:p>
    <w:p>
      <w:r>
        <w:rPr>
          <w:b/>
          <w:i w:val="0"/>
        </w:rPr>
        <w:t>Regla de lectura:</w:t>
      </w:r>
      <w:r>
        <w:rPr>
          <w:b w:val="0"/>
          <w:i w:val="0"/>
        </w:rPr>
        <w:t xml:space="preserve"> VIF muy próximo al mínimo teórico de 1 indica que las variables son prácticamente ortogonales y aportan información independiente. Ningún par con correlación significativa refuerza esa lectura.</w:t>
      </w:r>
    </w:p>
    <w:p>
      <w:pPr>
        <w:pStyle w:val="Heading2"/>
      </w:pPr>
      <w:r>
        <w:t>7.4 Objetivo 4 — Estabilidad temporal de la relación</w:t>
      </w:r>
    </w:p>
    <w:p>
      <w:r>
        <w:rPr>
          <w:b/>
          <w:i w:val="0"/>
        </w:rPr>
        <w:t>Propósito:</w:t>
      </w:r>
      <w:r>
        <w:rPr>
          <w:b w:val="0"/>
          <w:i w:val="0"/>
        </w:rPr>
        <w:t xml:space="preserve"> verificar si la relación entre PBI y temperatura cambió a lo largo del período.</w:t>
      </w:r>
    </w:p>
    <w:p>
      <w:r>
        <w:rPr>
          <w:b/>
          <w:i w:val="0"/>
        </w:rPr>
        <w:t>Procedimiento:</w:t>
      </w:r>
    </w:p>
    <w:p>
      <w:pPr>
        <w:pStyle w:val="ListBullet"/>
        <w:spacing w:after="40"/>
        <w:ind w:left="397"/>
      </w:pPr>
      <w:r>
        <w:rPr>
          <w:b w:val="0"/>
          <w:i w:val="0"/>
        </w:rPr>
        <w:t>Corte del período en dos mitades de igual longitud.</w:t>
      </w:r>
    </w:p>
    <w:p>
      <w:pPr>
        <w:pStyle w:val="ListBullet"/>
        <w:spacing w:after="40"/>
        <w:ind w:left="397"/>
      </w:pPr>
      <w:r>
        <w:rPr>
          <w:b w:val="0"/>
          <w:i w:val="0"/>
        </w:rPr>
        <w:t>Cálculo de la correlación de Pearson dentro de cada mitad, con su p-valor.</w:t>
      </w:r>
    </w:p>
    <w:p>
      <w:pPr>
        <w:pStyle w:val="ListBullet"/>
        <w:spacing w:after="40"/>
        <w:ind w:left="397"/>
      </w:pPr>
      <w:r>
        <w:rPr>
          <w:b w:val="0"/>
          <w:i w:val="0"/>
        </w:rPr>
        <w:t>Test de Fisher para comparar dos correlaciones independientes: se transforman los coeficientes con z = arctanh(r), se calcula la diferencia de medias y su error estándar.</w:t>
      </w:r>
    </w:p>
    <w:p>
      <w:pPr>
        <w:pStyle w:val="ListBullet"/>
        <w:spacing w:after="40"/>
        <w:ind w:left="397"/>
      </w:pPr>
      <w:r>
        <w:rPr>
          <w:b w:val="0"/>
          <w:i w:val="0"/>
        </w:rPr>
        <w:t>Ajuste de un modelo con interacción temp ~ pbi + post + pbi:post, donde *post* es el indicador de cambio de período. Si el coeficiente de interacción no es significativo, las pendientes son iguales en ambos tramos.</w:t>
      </w:r>
    </w:p>
    <w:p>
      <w:pPr>
        <w:pStyle w:val="ListBullet"/>
        <w:spacing w:after="40"/>
        <w:ind w:left="397"/>
      </w:pPr>
      <w:r>
        <w:rPr>
          <w:b w:val="0"/>
          <w:i w:val="0"/>
        </w:rPr>
        <w:t>Dispersión de ambas mitades con intervalos de confianza al 95 % para mostrar visualmente la superposición.</w:t>
      </w:r>
    </w:p>
    <w:p>
      <w:r>
        <w:rPr>
          <w:b/>
          <w:i w:val="0"/>
        </w:rPr>
        <w:t>Métrica de salida:</w:t>
      </w:r>
      <w:r>
        <w:rPr>
          <w:b w:val="0"/>
          <w:i w:val="0"/>
        </w:rPr>
        <w:t xml:space="preserve"> tabla de correlaciones por mitad, resultado del test de Fisher y tabla de coeficientes del modelo con interacción.</w:t>
      </w:r>
    </w:p>
    <w:p>
      <w:r>
        <w:rPr>
          <w:b/>
          <w:i w:val="0"/>
        </w:rPr>
        <w:t>Regla de lectura:</w:t>
      </w:r>
      <w:r>
        <w:rPr>
          <w:b w:val="0"/>
          <w:i w:val="0"/>
        </w:rPr>
        <w:t xml:space="preserve"> si el test de Fisher y el coeficiente de interacción no son significativos, la relación es estable. Si el coeficiente de período sí lo es aunque la interacción no, hay un cambio de nivel en la temperatura que no proviene del PBI: es el calentamiento, y conviene distinguirlo del efecto económico.</w:t>
      </w:r>
    </w:p>
    <w:p>
      <w:pPr>
        <w:pStyle w:val="Heading2"/>
      </w:pPr>
      <w:r>
        <w:t>7.5 Objetivo 5 — Modelos predictivos</w:t>
      </w:r>
    </w:p>
    <w:p>
      <w:r>
        <w:rPr>
          <w:b/>
          <w:i w:val="0"/>
        </w:rPr>
        <w:t>Propósito:</w:t>
      </w:r>
      <w:r>
        <w:rPr>
          <w:b w:val="0"/>
          <w:i w:val="0"/>
        </w:rPr>
        <w:t xml:space="preserve"> construir al menos dos modelos capaces de predecir la anomalía de temperatura a partir de las tres variables predictoras.</w:t>
      </w:r>
    </w:p>
    <w:p>
      <w:r>
        <w:rPr>
          <w:b/>
          <w:i w:val="0"/>
        </w:rPr>
        <w:t>Procedimiento:</w:t>
      </w:r>
    </w:p>
    <w:p>
      <w:pPr>
        <w:pStyle w:val="ListBullet"/>
        <w:spacing w:after="40"/>
        <w:ind w:left="397"/>
      </w:pPr>
      <w:r>
        <w:rPr>
          <w:b w:val="0"/>
          <w:i w:val="0"/>
        </w:rPr>
        <w:t>Verificación previa de la multicolinealidad mediante el objetivo 3, condición necesaria para que el modelo tenga sentido.</w:t>
      </w:r>
    </w:p>
    <w:p>
      <w:pPr>
        <w:pStyle w:val="ListBullet"/>
        <w:spacing w:after="40"/>
        <w:ind w:left="397"/>
      </w:pPr>
      <w:r>
        <w:rPr>
          <w:b w:val="0"/>
          <w:i w:val="0"/>
        </w:rPr>
        <w:t>Ajuste de un modelo de Regresión Lineal Múltiple sobre el bloque de entrenamiento.</w:t>
      </w:r>
    </w:p>
    <w:p>
      <w:pPr>
        <w:pStyle w:val="ListBullet"/>
        <w:spacing w:after="40"/>
        <w:ind w:left="397"/>
      </w:pPr>
      <w:r>
        <w:rPr>
          <w:b w:val="0"/>
          <w:i w:val="0"/>
        </w:rPr>
        <w:t>Ajuste de un ensemble de árboles de decisión con 200 árboles y semilla fija, para que el resultado sea reproducible.</w:t>
      </w:r>
    </w:p>
    <w:p>
      <w:pPr>
        <w:pStyle w:val="ListBullet"/>
        <w:spacing w:after="40"/>
        <w:ind w:left="397"/>
      </w:pPr>
      <w:r>
        <w:rPr>
          <w:b w:val="0"/>
          <w:i w:val="0"/>
        </w:rPr>
        <w:t>Predicción sobre el bloque de prueba.</w:t>
      </w:r>
    </w:p>
    <w:p>
      <w:pPr>
        <w:pStyle w:val="ListBullet"/>
        <w:spacing w:after="40"/>
        <w:ind w:left="397"/>
      </w:pPr>
      <w:r>
        <w:rPr>
          <w:b w:val="0"/>
          <w:i w:val="0"/>
        </w:rPr>
        <w:t>Para el ensemble, cálculo de la importancia de cada variable.</w:t>
      </w:r>
    </w:p>
    <w:p>
      <w:r>
        <w:rPr>
          <w:b/>
          <w:i w:val="0"/>
        </w:rPr>
        <w:t>Métrica de salida:</w:t>
      </w:r>
      <w:r>
        <w:rPr>
          <w:b w:val="0"/>
          <w:i w:val="0"/>
        </w:rPr>
        <w:t xml:space="preserve"> modelos ajustados, tabla de coeficientes y ranking de importancia de variables.</w:t>
      </w:r>
    </w:p>
    <w:p>
      <w:r>
        <w:rPr>
          <w:b/>
          <w:i w:val="0"/>
        </w:rPr>
        <w:t>Regla de lectura:</w:t>
      </w:r>
      <w:r>
        <w:rPr>
          <w:b w:val="0"/>
          <w:i w:val="0"/>
        </w:rPr>
        <w:t xml:space="preserve"> la importancia de variables describe qué usa el modelo para predecir; no implica causalidad y el informe no debe presentarla como tal.</w:t>
      </w:r>
    </w:p>
    <w:p>
      <w:pPr>
        <w:pStyle w:val="Heading2"/>
      </w:pPr>
      <w:r>
        <w:t>7.6 Objetivo 6 — Evaluación frente al baseline</w:t>
      </w:r>
    </w:p>
    <w:p>
      <w:r>
        <w:rPr>
          <w:b/>
          <w:i w:val="0"/>
        </w:rPr>
        <w:t>Propósito:</w:t>
      </w:r>
      <w:r>
        <w:rPr>
          <w:b w:val="0"/>
          <w:i w:val="0"/>
        </w:rPr>
        <w:t xml:space="preserve"> determinar si los modelos construidos aportan algo frente a no usar ningún modelo.</w:t>
      </w:r>
    </w:p>
    <w:p>
      <w:r>
        <w:rPr>
          <w:b/>
          <w:i w:val="0"/>
        </w:rPr>
        <w:t>Procedimiento:</w:t>
      </w:r>
    </w:p>
    <w:p>
      <w:pPr>
        <w:pStyle w:val="ListBullet"/>
        <w:spacing w:after="40"/>
        <w:ind w:left="397"/>
      </w:pPr>
      <w:r>
        <w:rPr>
          <w:b w:val="0"/>
          <w:i w:val="0"/>
        </w:rPr>
        <w:t xml:space="preserve">Definición del baseline naive de </w:t>
      </w:r>
      <w:r>
        <w:rPr>
          <w:b/>
          <w:i w:val="0"/>
        </w:rPr>
        <w:t>persistencia</w:t>
      </w:r>
      <w:r>
        <w:rPr>
          <w:b w:val="0"/>
          <w:i w:val="0"/>
        </w:rPr>
        <w:t>: predecir que la temperatura de un año es igual a la del año anterior. Se eligió por ser el naive más exigente y el más pertinente para series climáticas, donde la inercia del sistema es alta.</w:t>
      </w:r>
    </w:p>
    <w:p>
      <w:pPr>
        <w:pStyle w:val="ListBullet"/>
        <w:spacing w:after="40"/>
        <w:ind w:left="397"/>
      </w:pPr>
      <w:r>
        <w:rPr>
          <w:b w:val="0"/>
          <w:i w:val="0"/>
        </w:rPr>
        <w:t>Cálculo de RMSE, MAE y R² sobre el mismo bloque de prueba para el baseline y para cada modelo.</w:t>
      </w:r>
    </w:p>
    <w:p>
      <w:pPr>
        <w:pStyle w:val="ListBullet"/>
        <w:spacing w:after="40"/>
        <w:ind w:left="397"/>
      </w:pPr>
      <w:r>
        <w:rPr>
          <w:b w:val="0"/>
          <w:i w:val="0"/>
        </w:rPr>
        <w:t>Comparación en una única tabla, con la diferencia porcentual de error respecto del baseline.</w:t>
      </w:r>
    </w:p>
    <w:p>
      <w:pPr>
        <w:pStyle w:val="ListBullet"/>
        <w:spacing w:after="40"/>
        <w:ind w:left="397"/>
      </w:pPr>
      <w:r>
        <w:rPr>
          <w:b w:val="0"/>
          <w:i w:val="0"/>
        </w:rPr>
        <w:t>Variante de contraste: repetir el último valor del entrenamiento como constante, para mostrar cómo el resultado depende de la definición de baseline elegida.</w:t>
      </w:r>
    </w:p>
    <w:p>
      <w:r>
        <w:rPr>
          <w:b/>
          <w:i w:val="0"/>
        </w:rPr>
        <w:t>Métrica de salida:</w:t>
      </w:r>
      <w:r>
        <w:rPr>
          <w:b w:val="0"/>
          <w:i w:val="0"/>
        </w:rPr>
        <w:t xml:space="preserve"> tabla comparativa de los tres indicadores para baseline y modelos.</w:t>
      </w:r>
    </w:p>
    <w:p>
      <w:r>
        <w:rPr>
          <w:b/>
          <w:i w:val="0"/>
        </w:rPr>
        <w:t>Regla de decisión:</w:t>
      </w:r>
      <w:r>
        <w:rPr>
          <w:b w:val="0"/>
          <w:i w:val="0"/>
        </w:rPr>
        <w:t xml:space="preserve"> un modelo solo se considera útil si su RMSE es inferior al del baseline. Un R² negativo indica que el modelo predice peor que la media de los datos de prueba, y es una señal de que el modelo no aporta. Un resultado adverso se reporta con la misma claridad que uno favorable.</w:t>
      </w:r>
    </w:p>
    <w:p>
      <w:pPr>
        <w:pStyle w:val="Heading1"/>
        <w:pBdr>
          <w:bottom w:val="single" w:sz="6" w:space="6" w:color="B9C7D6"/>
        </w:pBdr>
      </w:pPr>
      <w:r>
        <w:t>8. Selección de modelos y fundamento teórico</w:t>
      </w:r>
    </w:p>
    <w:p>
      <w:pPr>
        <w:pStyle w:val="Heading2"/>
      </w:pPr>
      <w:r>
        <w:t>8.1 Criterios de selección</w:t>
      </w:r>
    </w:p>
    <w:p>
      <w:r>
        <w:rPr>
          <w:b w:val="0"/>
          <w:i w:val="0"/>
        </w:rPr>
        <w:t>La técnica de modelado se elige considerando cuatro criterios: que sea apropiada al tipo de variable respuesta (numérica continua), que aporte información distinta de la ya registrada en los objetivos anteriores, que su complejidad esté justificada por el problema, y que su comportamiento bajo extrapolación sea conocido.</w:t>
      </w:r>
    </w:p>
    <w:p>
      <w:pPr>
        <w:pStyle w:val="Heading2"/>
      </w:pPr>
      <w:r>
        <w:t>8.2 Regresión Lineal Múltiple</w:t>
      </w:r>
    </w:p>
    <w:p>
      <w:r>
        <w:rPr>
          <w:b/>
          <w:i w:val="0"/>
        </w:rPr>
        <w:t>Qué es.</w:t>
      </w:r>
      <w:r>
        <w:rPr>
          <w:b w:val="0"/>
          <w:i w:val="0"/>
        </w:rPr>
        <w:t xml:space="preserve"> Un modelo que expresa la variable respuesta como combinación lineal de las variables predictoras:</w:t>
      </w:r>
    </w:p>
    <w:p>
      <w:pPr>
        <w:spacing w:before="120" w:after="120"/>
        <w:jc w:val="center"/>
      </w:pPr>
      <w:r>
        <w:rPr>
          <w:b/>
          <w:i w:val="0"/>
          <w:color w:val="1E3A5F"/>
          <w:sz w:val="22"/>
        </w:rPr>
        <w:t>Y = β₀ + β₁X₁ + β₂X₂ + β₃X₃ + ε</w:t>
      </w:r>
    </w:p>
    <w:p>
      <w:r>
        <w:rPr>
          <w:b w:val="0"/>
          <w:i w:val="0"/>
        </w:rPr>
        <w:t>donde β₀ es la intersección, βⱼ es el efecto de la variable predictora Xⱼ y ε es el término de error, que recoge todo lo que el modelo no explica.</w:t>
      </w:r>
    </w:p>
    <w:p>
      <w:r>
        <w:rPr>
          <w:b/>
          <w:i w:val="0"/>
        </w:rPr>
        <w:t>Por qué se elige.</w:t>
      </w:r>
      <w:r>
        <w:rPr>
          <w:b w:val="0"/>
          <w:i w:val="0"/>
        </w:rPr>
        <w:t xml:space="preserve"> Es el modelo más interpretable que existe: cada coeficiente se lee directamente como el cambio esperado en la predicción cuando la variable correspondiente aumenta en una unidad, manteniendo constantes las demás. En un trabajo académico donde importa poder explicar qué se está midiendo, esa propiedad es decisiva. Además es el punto de partida natural para evaluar el efecto de las variables en un modelo conjunto.</w:t>
      </w:r>
    </w:p>
    <w:p>
      <w:r>
        <w:rPr>
          <w:b/>
          <w:i w:val="0"/>
        </w:rPr>
        <w:t>Supuestos que deben verificarse.</w:t>
      </w:r>
      <w:r>
        <w:rPr>
          <w:b w:val="0"/>
          <w:i w:val="0"/>
        </w:rPr>
        <w:t xml:space="preserve"> Independencia de los errores, linealidad de la relación, homocedasticidad (varianza constante del error), normalidad de los residuos y ausencia de multicolinealidad severa. Los dos últimos se verifican explícitamente en los objetivos 3 y 4; el primero se controla con un test de Durbin–Watson, dado que las series temporales suelen incumplirlo.</w:t>
      </w:r>
    </w:p>
    <w:p>
      <w:r>
        <w:rPr>
          <w:b/>
          <w:i w:val="0"/>
        </w:rPr>
        <w:t>Limitaciones previsibles.</w:t>
      </w:r>
      <w:r>
        <w:rPr>
          <w:b w:val="0"/>
          <w:i w:val="0"/>
        </w:rPr>
        <w:t xml:space="preserve"> Con series no estacionarias y autocorreladas, los coeficientes pueden ser eficientes en la práctica pero no consistentes en la inferencia. El número de observaciones disponibles limita la potencia de las pruebas. Y si la relación real es no lineal, el modelo aprenderá relaciones que no existen.</w:t>
      </w:r>
    </w:p>
    <w:p>
      <w:pPr>
        <w:pStyle w:val="Heading2"/>
      </w:pPr>
      <w:r>
        <w:t>8.3 Random Forest Regressor</w:t>
      </w:r>
    </w:p>
    <w:p>
      <w:r>
        <w:rPr>
          <w:b/>
          <w:i w:val="0"/>
        </w:rPr>
        <w:t>Qué es.</w:t>
      </w:r>
      <w:r>
        <w:rPr>
          <w:b w:val="0"/>
          <w:i w:val="0"/>
        </w:rPr>
        <w:t xml:space="preserve"> Un método de ensemble que construye muchos árboles de decisión y promedia sus predicciones. Cada árbol se ajusta sobre un subconjunto aleatorio de observaciones y, en la configuración habitual, sobre un subconjunto aleatorio de variables.</w:t>
      </w:r>
    </w:p>
    <w:p>
      <w:r>
        <w:rPr>
          <w:b/>
          <w:i w:val="0"/>
        </w:rPr>
        <w:t>Por qué se elige como contrapunto.</w:t>
      </w:r>
      <w:r>
        <w:rPr>
          <w:b w:val="0"/>
          <w:i w:val="0"/>
        </w:rPr>
        <w:t xml:space="preserve"> Es capaz de representar relaciones no lineales e interacciones entre variables que la regresión lineal no puede expresar. Si el modelo simple resultara distante del óptimo, este modelo permite poner a prueba si la complejidad adicional ofrece alguna ventaja. Incluirlo convierte el ejercicio en una comparación real de capacidades.</w:t>
      </w:r>
    </w:p>
    <w:p>
      <w:r>
        <w:rPr>
          <w:b/>
          <w:i w:val="0"/>
        </w:rPr>
        <w:t>Limitaciones previsibles.</w:t>
      </w:r>
      <w:r>
        <w:rPr>
          <w:b w:val="0"/>
          <w:i w:val="0"/>
        </w:rPr>
        <w:t xml:space="preserve"> No extrapola: fuera del rango de valores visto en el entrenamiento, sus predicciones se limitan a los valores extremos observados. En un problema con partición temporal, esto es especialmente relevante: los años recientes pueden tener valores de emisiones fuera del rango histórico de entrenamiento. Además, no ofrece coeficientes interpretables; solo importancia de variables.</w:t>
      </w:r>
    </w:p>
    <w:p>
      <w:pPr>
        <w:pStyle w:val="Heading2"/>
      </w:pPr>
      <w:r>
        <w:t>8.4 Baseline naive de persistencia</w:t>
      </w:r>
    </w:p>
    <w:p>
      <w:r>
        <w:rPr>
          <w:b/>
          <w:i w:val="0"/>
        </w:rPr>
        <w:t>Qué es.</w:t>
      </w:r>
      <w:r>
        <w:rPr>
          <w:b w:val="0"/>
          <w:i w:val="0"/>
        </w:rPr>
        <w:t xml:space="preserve"> La regla más elemental posible: la predicción para el próximo período es el valor del período actual. No requiere estimación de ningún parámetro.</w:t>
      </w:r>
    </w:p>
    <w:p>
      <w:r>
        <w:rPr>
          <w:b/>
          <w:i w:val="0"/>
        </w:rPr>
        <w:t>Por qué se elige.</w:t>
      </w:r>
      <w:r>
        <w:rPr>
          <w:b w:val="0"/>
          <w:i w:val="0"/>
        </w:rPr>
        <w:t xml:space="preserve"> En series con alta inercia —como la temperatura media anual— el valor anterior es un predictor muy fuerte. Cualquier modelo que no supere esa regla no está aportando información. Definir el baseline </w:t>
      </w:r>
      <w:r>
        <w:rPr>
          <w:b/>
          <w:i w:val="0"/>
        </w:rPr>
        <w:t>antes</w:t>
      </w:r>
      <w:r>
        <w:rPr>
          <w:b w:val="0"/>
          <w:i w:val="0"/>
        </w:rPr>
        <w:t xml:space="preserve"> de entrenar es lo que impide interpretar como éxito un modelo que solo parece bueno en abstracto.</w:t>
      </w:r>
    </w:p>
    <w:p>
      <w:pPr>
        <w:pStyle w:val="Heading2"/>
      </w:pPr>
      <w:r>
        <w:t>8.5 Test de Fisher para comparar correlaciones</w:t>
      </w:r>
    </w:p>
    <w:p>
      <w:r>
        <w:rPr>
          <w:b w:val="0"/>
          <w:i w:val="0"/>
        </w:rPr>
        <w:t>Para determinar si dos coeficientes de correlación obtenidos en poblaciones independientes son estadísticamente distintos entre sí se aplica la transformada de Fisher:</w:t>
      </w:r>
    </w:p>
    <w:p>
      <w:pPr>
        <w:spacing w:before="120" w:after="120"/>
        <w:jc w:val="center"/>
      </w:pPr>
      <w:r>
        <w:rPr>
          <w:b/>
          <w:i w:val="0"/>
          <w:color w:val="1E3A5F"/>
          <w:sz w:val="21"/>
        </w:rPr>
        <w:t>z = arctanh(r)      y      z − z′ = (z − z′) / √(1/(n−3) + 1/(n′−3))</w:t>
      </w:r>
    </w:p>
    <w:p>
      <w:r>
        <w:rPr>
          <w:b w:val="0"/>
          <w:i w:val="0"/>
        </w:rPr>
        <w:t>El estadístico resultante sigue aproximadamente una normal estándar, lo que permite obtener un p-valor directamente. Es la prueba adecuada porque las correlaciones no se distribuyen de forma normal aunque sus transformadas sí.</w:t>
      </w:r>
    </w:p>
    <w:p>
      <w:pPr>
        <w:pStyle w:val="Heading2"/>
      </w:pPr>
      <w:r>
        <w:t>8.6 Modelo con interacción</w:t>
      </w:r>
    </w:p>
    <w:p>
      <w:r>
        <w:rPr>
          <w:b w:val="0"/>
          <w:i w:val="0"/>
        </w:rPr>
        <w:t>Un modelo con interacción permite que el efecto de una variable dependa del valor de otra. En este trabajo se emplea para verificar si la pendiente de la relación PBI–temperatura cambia después del corte temporal:</w:t>
      </w:r>
    </w:p>
    <w:p>
      <w:pPr>
        <w:spacing w:before="120" w:after="120"/>
        <w:jc w:val="center"/>
      </w:pPr>
      <w:r>
        <w:rPr>
          <w:b/>
          <w:i w:val="0"/>
          <w:color w:val="1E3A5F"/>
          <w:sz w:val="22"/>
        </w:rPr>
        <w:t>temp = β₀ + β₁·pbi + β₂·post + β₃·(pbi × post) + ε</w:t>
      </w:r>
    </w:p>
    <w:p>
      <w:r>
        <w:rPr>
          <w:b w:val="0"/>
          <w:i w:val="0"/>
        </w:rPr>
        <w:t>El coeficiente β₂ mide el cambio de nivel de temperatura entre períodos. El coeficiente β₃ mide si la pendiente del PBI es distinta en cada período. Si β₃ no es significativo, la relación económica es la misma antes y después del corte, y cualquier cambio observado en la temperatura responde a otras causas.</w:t>
      </w:r>
    </w:p>
    <w:p>
      <w:pPr>
        <w:pStyle w:val="Heading2"/>
      </w:pPr>
      <w:r>
        <w:t>8.7 Técnicas descartadas y motivo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2095"/>
            <w:shd w:val="clear" w:color="auto" w:fill="1E3A5F"/>
            <w:vAlign w:val="center"/>
          </w:tcPr>
          <w:p>
            <w:pPr>
              <w:spacing w:before="40" w:after="40"/>
            </w:pPr>
            <w:r>
              <w:rPr>
                <w:b/>
                <w:i w:val="0"/>
                <w:color w:val="FFFFFF"/>
                <w:sz w:val="19"/>
              </w:rPr>
              <w:t>Técnica considerada</w:t>
            </w:r>
          </w:p>
        </w:tc>
        <w:tc>
          <w:tcPr>
            <w:tcW w:type="dxa" w:w="4381"/>
            <w:shd w:val="clear" w:color="auto" w:fill="1E3A5F"/>
            <w:vAlign w:val="center"/>
          </w:tcPr>
          <w:p>
            <w:pPr>
              <w:spacing w:before="40" w:after="40"/>
            </w:pPr>
            <w:r>
              <w:rPr>
                <w:b/>
                <w:i w:val="0"/>
                <w:color w:val="FFFFFF"/>
                <w:sz w:val="19"/>
              </w:rPr>
              <w:t>Motivo de la exclusión</w:t>
            </w:r>
          </w:p>
        </w:tc>
        <w:tc>
          <w:tcPr>
            <w:tcW w:type="dxa" w:w="3048"/>
            <w:shd w:val="clear" w:color="auto" w:fill="1E3A5F"/>
            <w:vAlign w:val="center"/>
          </w:tcPr>
          <w:p>
            <w:pPr>
              <w:spacing w:before="40" w:after="40"/>
            </w:pPr>
            <w:r>
              <w:rPr>
                <w:b/>
                <w:i w:val="0"/>
                <w:color w:val="FFFFFF"/>
                <w:sz w:val="19"/>
              </w:rPr>
              <w:t>Cuándo convendría</w:t>
            </w:r>
          </w:p>
        </w:tc>
      </w:tr>
      <w:tr>
        <w:trPr>
          <w:cantSplit w:val="true"/>
        </w:trPr>
        <w:tc>
          <w:tcPr>
            <w:tcW w:type="dxa" w:w="2095"/>
            <w:vAlign w:val="top"/>
          </w:tcPr>
          <w:p>
            <w:pPr>
              <w:spacing w:before="20" w:after="20" w:line="252" w:lineRule="auto"/>
            </w:pPr>
            <w:r>
              <w:rPr>
                <w:b w:val="0"/>
                <w:i w:val="0"/>
                <w:sz w:val="19"/>
              </w:rPr>
              <w:t>Modelos ARIMA o de series de tiempo</w:t>
            </w:r>
          </w:p>
        </w:tc>
        <w:tc>
          <w:tcPr>
            <w:tcW w:type="dxa" w:w="4381"/>
            <w:vAlign w:val="top"/>
          </w:tcPr>
          <w:p>
            <w:pPr>
              <w:spacing w:before="20" w:after="20" w:line="252" w:lineRule="auto"/>
            </w:pPr>
            <w:r>
              <w:rPr>
                <w:b w:val="0"/>
                <w:i w:val="0"/>
                <w:sz w:val="19"/>
              </w:rPr>
              <w:t>Exigen una cantidad de observaciones y una estructura de autocorrelación que este conjunto no ofrece con holgura; además, no aprovechan las variables económicas</w:t>
            </w:r>
          </w:p>
        </w:tc>
        <w:tc>
          <w:tcPr>
            <w:tcW w:type="dxa" w:w="3048"/>
            <w:vAlign w:val="top"/>
          </w:tcPr>
          <w:p>
            <w:pPr>
              <w:spacing w:before="20" w:after="20" w:line="252" w:lineRule="auto"/>
            </w:pPr>
            <w:r>
              <w:rPr>
                <w:b w:val="0"/>
                <w:i w:val="0"/>
                <w:sz w:val="19"/>
              </w:rPr>
              <w:t>Con series más largas y con información de rezagos disponibles</w:t>
            </w:r>
          </w:p>
        </w:tc>
      </w:tr>
      <w:tr>
        <w:trPr>
          <w:cantSplit w:val="true"/>
        </w:trPr>
        <w:tc>
          <w:tcPr>
            <w:tcW w:type="dxa" w:w="2095"/>
            <w:shd w:val="clear" w:color="auto" w:fill="F6F9FC"/>
            <w:vAlign w:val="top"/>
          </w:tcPr>
          <w:p>
            <w:pPr>
              <w:spacing w:before="20" w:after="20" w:line="252" w:lineRule="auto"/>
            </w:pPr>
            <w:r>
              <w:rPr>
                <w:b w:val="0"/>
                <w:i w:val="0"/>
                <w:sz w:val="19"/>
              </w:rPr>
              <w:t>Modelos GAM</w:t>
            </w:r>
          </w:p>
        </w:tc>
        <w:tc>
          <w:tcPr>
            <w:tcW w:type="dxa" w:w="4381"/>
            <w:shd w:val="clear" w:color="auto" w:fill="F6F9FC"/>
            <w:vAlign w:val="top"/>
          </w:tcPr>
          <w:p>
            <w:pPr>
              <w:spacing w:before="20" w:after="20" w:line="252" w:lineRule="auto"/>
            </w:pPr>
            <w:r>
              <w:rPr>
                <w:b w:val="0"/>
                <w:i w:val="0"/>
                <w:sz w:val="19"/>
              </w:rPr>
              <w:t>Aportan flexibilidad no lineal manteniendo interpretabilidad, pero exceden lo que la cursada pide en esta entrega</w:t>
            </w:r>
          </w:p>
        </w:tc>
        <w:tc>
          <w:tcPr>
            <w:tcW w:type="dxa" w:w="3048"/>
            <w:shd w:val="clear" w:color="auto" w:fill="F6F9FC"/>
            <w:vAlign w:val="top"/>
          </w:tcPr>
          <w:p>
            <w:pPr>
              <w:spacing w:before="20" w:after="20" w:line="252" w:lineRule="auto"/>
            </w:pPr>
            <w:r>
              <w:rPr>
                <w:b w:val="0"/>
                <w:i w:val="0"/>
                <w:sz w:val="19"/>
              </w:rPr>
              <w:t>Como línea de trabajo futuro sobre una base de datos más amplia</w:t>
            </w:r>
          </w:p>
        </w:tc>
      </w:tr>
      <w:tr>
        <w:trPr>
          <w:cantSplit w:val="true"/>
        </w:trPr>
        <w:tc>
          <w:tcPr>
            <w:tcW w:type="dxa" w:w="2095"/>
            <w:vAlign w:val="top"/>
          </w:tcPr>
          <w:p>
            <w:pPr>
              <w:spacing w:before="20" w:after="20" w:line="252" w:lineRule="auto"/>
            </w:pPr>
            <w:r>
              <w:rPr>
                <w:b w:val="0"/>
                <w:i w:val="0"/>
                <w:sz w:val="19"/>
              </w:rPr>
              <w:t>Análisis componentes principales</w:t>
            </w:r>
          </w:p>
        </w:tc>
        <w:tc>
          <w:tcPr>
            <w:tcW w:type="dxa" w:w="4381"/>
            <w:vAlign w:val="top"/>
          </w:tcPr>
          <w:p>
            <w:pPr>
              <w:spacing w:before="20" w:after="20" w:line="252" w:lineRule="auto"/>
            </w:pPr>
            <w:r>
              <w:rPr>
                <w:b w:val="0"/>
                <w:i w:val="0"/>
                <w:sz w:val="19"/>
              </w:rPr>
              <w:t>Transformaría las variables y perdería la interpretación directa de cada coeficiente</w:t>
            </w:r>
          </w:p>
        </w:tc>
        <w:tc>
          <w:tcPr>
            <w:tcW w:type="dxa" w:w="3048"/>
            <w:vAlign w:val="top"/>
          </w:tcPr>
          <w:p>
            <w:pPr>
              <w:spacing w:before="20" w:after="20" w:line="252" w:lineRule="auto"/>
            </w:pPr>
            <w:r>
              <w:rPr>
                <w:b w:val="0"/>
                <w:i w:val="0"/>
                <w:sz w:val="19"/>
              </w:rPr>
              <w:t>Cuando la dimensionalidad fuera muy superior al tamaño muestral</w:t>
            </w:r>
          </w:p>
        </w:tc>
      </w:tr>
      <w:tr>
        <w:trPr>
          <w:cantSplit w:val="true"/>
        </w:trPr>
        <w:tc>
          <w:tcPr>
            <w:tcW w:type="dxa" w:w="2095"/>
            <w:shd w:val="clear" w:color="auto" w:fill="F6F9FC"/>
            <w:vAlign w:val="top"/>
          </w:tcPr>
          <w:p>
            <w:pPr>
              <w:spacing w:before="20" w:after="20" w:line="252" w:lineRule="auto"/>
            </w:pPr>
            <w:r>
              <w:rPr>
                <w:b w:val="0"/>
                <w:i w:val="0"/>
                <w:sz w:val="19"/>
              </w:rPr>
              <w:t>Redes neuronales</w:t>
            </w:r>
          </w:p>
        </w:tc>
        <w:tc>
          <w:tcPr>
            <w:tcW w:type="dxa" w:w="4381"/>
            <w:shd w:val="clear" w:color="auto" w:fill="F6F9FC"/>
            <w:vAlign w:val="top"/>
          </w:tcPr>
          <w:p>
            <w:pPr>
              <w:spacing w:before="20" w:after="20" w:line="252" w:lineRule="auto"/>
            </w:pPr>
            <w:r>
              <w:rPr>
                <w:b w:val="0"/>
                <w:i w:val="0"/>
                <w:sz w:val="19"/>
              </w:rPr>
              <w:t>Necesitan órdenes de magnitud más de observaciones de las disponibles aquí</w:t>
            </w:r>
          </w:p>
        </w:tc>
        <w:tc>
          <w:tcPr>
            <w:tcW w:type="dxa" w:w="3048"/>
            <w:shd w:val="clear" w:color="auto" w:fill="F6F9FC"/>
            <w:vAlign w:val="top"/>
          </w:tcPr>
          <w:p>
            <w:pPr>
              <w:spacing w:before="20" w:after="20" w:line="252" w:lineRule="auto"/>
            </w:pPr>
            <w:r>
              <w:rPr>
                <w:b w:val="0"/>
                <w:i w:val="0"/>
                <w:sz w:val="19"/>
              </w:rPr>
              <w:t>Con datos de mayor frecuencia y mayor volumen</w:t>
            </w:r>
          </w:p>
        </w:tc>
      </w:tr>
      <w:tr>
        <w:trPr>
          <w:cantSplit w:val="true"/>
        </w:trPr>
        <w:tc>
          <w:tcPr>
            <w:tcW w:type="dxa" w:w="2095"/>
            <w:vAlign w:val="top"/>
          </w:tcPr>
          <w:p>
            <w:pPr>
              <w:spacing w:before="20" w:after="20" w:line="252" w:lineRule="auto"/>
            </w:pPr>
            <w:r>
              <w:rPr>
                <w:b w:val="0"/>
                <w:i w:val="0"/>
                <w:sz w:val="19"/>
              </w:rPr>
              <w:t>Modelos causales</w:t>
            </w:r>
          </w:p>
        </w:tc>
        <w:tc>
          <w:tcPr>
            <w:tcW w:type="dxa" w:w="4381"/>
            <w:vAlign w:val="top"/>
          </w:tcPr>
          <w:p>
            <w:pPr>
              <w:spacing w:before="20" w:after="20" w:line="252" w:lineRule="auto"/>
            </w:pPr>
            <w:r>
              <w:rPr>
                <w:b w:val="0"/>
                <w:i w:val="0"/>
                <w:sz w:val="19"/>
              </w:rPr>
              <w:t>Requieren instrumentos o variaciones exógenas que este diseño no incluye</w:t>
            </w:r>
          </w:p>
        </w:tc>
        <w:tc>
          <w:tcPr>
            <w:tcW w:type="dxa" w:w="3048"/>
            <w:vAlign w:val="top"/>
          </w:tcPr>
          <w:p>
            <w:pPr>
              <w:spacing w:before="20" w:after="20" w:line="252" w:lineRule="auto"/>
            </w:pPr>
            <w:r>
              <w:rPr>
                <w:b w:val="0"/>
                <w:i w:val="0"/>
                <w:sz w:val="19"/>
              </w:rPr>
              <w:t>Con información que permita identificar causalidad</w:t>
            </w:r>
          </w:p>
        </w:tc>
      </w:tr>
    </w:tbl>
    <w:p>
      <w:pPr>
        <w:spacing w:after="80"/>
      </w:pPr>
    </w:p>
    <w:p>
      <w:pPr>
        <w:pStyle w:val="Heading1"/>
        <w:pBdr>
          <w:bottom w:val="single" w:sz="6" w:space="6" w:color="B9C7D6"/>
        </w:pBdr>
      </w:pPr>
      <w:r>
        <w:t>9. Procedimiento de evaluación</w:t>
      </w:r>
    </w:p>
    <w:p>
      <w:r>
        <w:rPr>
          <w:b w:val="0"/>
          <w:i w:val="0"/>
        </w:rPr>
        <w:t xml:space="preserve">Este apartado explica </w:t>
      </w:r>
      <w:r>
        <w:rPr>
          <w:b/>
          <w:i w:val="0"/>
        </w:rPr>
        <w:t>cómo se evaluarán los resultados</w:t>
      </w:r>
      <w:r>
        <w:rPr>
          <w:b w:val="0"/>
          <w:i w:val="0"/>
        </w:rPr>
        <w:t>, qué se hará, qué se obtendrá y qué se concluirá.</w:t>
      </w:r>
    </w:p>
    <w:p>
      <w:pPr>
        <w:pStyle w:val="Heading2"/>
      </w:pPr>
      <w:r>
        <w:t>9.1 Partición temporal</w:t>
      </w:r>
    </w:p>
    <w:p>
      <w:r>
        <w:rPr>
          <w:b w:val="0"/>
          <w:i w:val="0"/>
        </w:rPr>
        <w:t>La evaluación se realiza sobre un bloque de prueba que el modelo nunca vio durante el entrenamiento. Al tratarse de series temporales, la partición es cronológica y no aleatoria: los años recientes se reservan íntegramente para prueba, de modo que la evaluación simule exactamente el uso previsto: predecir el futuro a partir del pasado.</w:t>
      </w:r>
    </w:p>
    <w:p>
      <w:pPr>
        <w:pStyle w:val="Heading2"/>
      </w:pPr>
      <w:r>
        <w:t>9.2 Métricas de evaluación</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2095"/>
            <w:shd w:val="clear" w:color="auto" w:fill="1E3A5F"/>
            <w:vAlign w:val="center"/>
          </w:tcPr>
          <w:p>
            <w:pPr>
              <w:spacing w:before="40" w:after="40"/>
            </w:pPr>
            <w:r>
              <w:rPr>
                <w:b/>
                <w:i w:val="0"/>
                <w:color w:val="FFFFFF"/>
                <w:sz w:val="19"/>
              </w:rPr>
              <w:t>Métrica</w:t>
            </w:r>
          </w:p>
        </w:tc>
        <w:tc>
          <w:tcPr>
            <w:tcW w:type="dxa" w:w="3619"/>
            <w:shd w:val="clear" w:color="auto" w:fill="1E3A5F"/>
            <w:vAlign w:val="center"/>
          </w:tcPr>
          <w:p>
            <w:pPr>
              <w:spacing w:before="40" w:after="40"/>
            </w:pPr>
            <w:r>
              <w:rPr>
                <w:b/>
                <w:i w:val="0"/>
                <w:color w:val="FFFFFF"/>
                <w:sz w:val="19"/>
              </w:rPr>
              <w:t>Fórmula</w:t>
            </w:r>
          </w:p>
        </w:tc>
        <w:tc>
          <w:tcPr>
            <w:tcW w:type="dxa" w:w="3810"/>
            <w:shd w:val="clear" w:color="auto" w:fill="1E3A5F"/>
            <w:vAlign w:val="center"/>
          </w:tcPr>
          <w:p>
            <w:pPr>
              <w:spacing w:before="40" w:after="40"/>
            </w:pPr>
            <w:r>
              <w:rPr>
                <w:b/>
                <w:i w:val="0"/>
                <w:color w:val="FFFFFF"/>
                <w:sz w:val="19"/>
              </w:rPr>
              <w:t>Interpretación</w:t>
            </w:r>
          </w:p>
        </w:tc>
      </w:tr>
      <w:tr>
        <w:trPr>
          <w:cantSplit w:val="true"/>
        </w:trPr>
        <w:tc>
          <w:tcPr>
            <w:tcW w:type="dxa" w:w="2095"/>
            <w:vAlign w:val="top"/>
          </w:tcPr>
          <w:p>
            <w:pPr>
              <w:spacing w:before="20" w:after="20" w:line="252" w:lineRule="auto"/>
            </w:pPr>
            <w:r>
              <w:rPr>
                <w:b w:val="0"/>
                <w:i w:val="0"/>
                <w:sz w:val="19"/>
              </w:rPr>
              <w:t>RMSE — error cuadrático medio</w:t>
            </w:r>
          </w:p>
        </w:tc>
        <w:tc>
          <w:tcPr>
            <w:tcW w:type="dxa" w:w="3619"/>
            <w:vAlign w:val="top"/>
          </w:tcPr>
          <w:p>
            <w:pPr>
              <w:spacing w:before="20" w:after="20" w:line="252" w:lineRule="auto"/>
            </w:pPr>
            <w:r>
              <w:rPr>
                <w:b w:val="0"/>
                <w:i w:val="0"/>
                <w:sz w:val="19"/>
              </w:rPr>
              <w:t>√( (1/n) · Σ (predicho − real)² )</w:t>
            </w:r>
          </w:p>
        </w:tc>
        <w:tc>
          <w:tcPr>
            <w:tcW w:type="dxa" w:w="3810"/>
            <w:vAlign w:val="top"/>
          </w:tcPr>
          <w:p>
            <w:pPr>
              <w:spacing w:before="20" w:after="20" w:line="252" w:lineRule="auto"/>
            </w:pPr>
            <w:r>
              <w:rPr>
                <w:b w:val="0"/>
                <w:i w:val="0"/>
                <w:sz w:val="19"/>
              </w:rPr>
              <w:t>Penaliza más los errores grandes; es la métrica principal por ser la más exigente</w:t>
            </w:r>
          </w:p>
        </w:tc>
      </w:tr>
      <w:tr>
        <w:trPr>
          <w:cantSplit w:val="true"/>
        </w:trPr>
        <w:tc>
          <w:tcPr>
            <w:tcW w:type="dxa" w:w="2095"/>
            <w:shd w:val="clear" w:color="auto" w:fill="F6F9FC"/>
            <w:vAlign w:val="top"/>
          </w:tcPr>
          <w:p>
            <w:pPr>
              <w:spacing w:before="20" w:after="20" w:line="252" w:lineRule="auto"/>
            </w:pPr>
            <w:r>
              <w:rPr>
                <w:b w:val="0"/>
                <w:i w:val="0"/>
                <w:sz w:val="19"/>
              </w:rPr>
              <w:t>MAE — error absoluto medio</w:t>
            </w:r>
          </w:p>
        </w:tc>
        <w:tc>
          <w:tcPr>
            <w:tcW w:type="dxa" w:w="3619"/>
            <w:shd w:val="clear" w:color="auto" w:fill="F6F9FC"/>
            <w:vAlign w:val="top"/>
          </w:tcPr>
          <w:p>
            <w:pPr>
              <w:spacing w:before="20" w:after="20" w:line="252" w:lineRule="auto"/>
            </w:pPr>
            <w:r>
              <w:rPr>
                <w:b w:val="0"/>
                <w:i w:val="0"/>
                <w:sz w:val="19"/>
              </w:rPr>
              <w:t>(1/n) · Σ |predicho − real|</w:t>
            </w:r>
          </w:p>
        </w:tc>
        <w:tc>
          <w:tcPr>
            <w:tcW w:type="dxa" w:w="3810"/>
            <w:shd w:val="clear" w:color="auto" w:fill="F6F9FC"/>
            <w:vAlign w:val="top"/>
          </w:tcPr>
          <w:p>
            <w:pPr>
              <w:spacing w:before="20" w:after="20" w:line="252" w:lineRule="auto"/>
            </w:pPr>
            <w:r>
              <w:rPr>
                <w:b w:val="0"/>
                <w:i w:val="0"/>
                <w:sz w:val="19"/>
              </w:rPr>
              <w:t>Error típico en las mismas unidades de la variable; más robusta ante valores extremos</w:t>
            </w:r>
          </w:p>
        </w:tc>
      </w:tr>
      <w:tr>
        <w:trPr>
          <w:cantSplit w:val="true"/>
        </w:trPr>
        <w:tc>
          <w:tcPr>
            <w:tcW w:type="dxa" w:w="2095"/>
            <w:vAlign w:val="top"/>
          </w:tcPr>
          <w:p>
            <w:pPr>
              <w:spacing w:before="20" w:after="20" w:line="252" w:lineRule="auto"/>
            </w:pPr>
            <w:r>
              <w:rPr>
                <w:b w:val="0"/>
                <w:i w:val="0"/>
                <w:sz w:val="19"/>
              </w:rPr>
              <w:t>R² — coeficiente de determinación</w:t>
            </w:r>
          </w:p>
        </w:tc>
        <w:tc>
          <w:tcPr>
            <w:tcW w:type="dxa" w:w="3619"/>
            <w:vAlign w:val="top"/>
          </w:tcPr>
          <w:p>
            <w:pPr>
              <w:spacing w:before="20" w:after="20" w:line="252" w:lineRule="auto"/>
            </w:pPr>
            <w:r>
              <w:rPr>
                <w:b w:val="0"/>
                <w:i w:val="0"/>
                <w:sz w:val="19"/>
              </w:rPr>
              <w:t>1 − Σ(residuos²) / Σ(desviaciones respecto de la media)²</w:t>
            </w:r>
          </w:p>
        </w:tc>
        <w:tc>
          <w:tcPr>
            <w:tcW w:type="dxa" w:w="3810"/>
            <w:vAlign w:val="top"/>
          </w:tcPr>
          <w:p>
            <w:pPr>
              <w:spacing w:before="20" w:after="20" w:line="252" w:lineRule="auto"/>
            </w:pPr>
            <w:r>
              <w:rPr>
                <w:b w:val="0"/>
                <w:i w:val="0"/>
                <w:sz w:val="19"/>
              </w:rPr>
              <w:t>Proporción de varianza explicada; puede ser negativo si el modelo predice peor que la media</w:t>
            </w:r>
          </w:p>
        </w:tc>
      </w:tr>
    </w:tbl>
    <w:p>
      <w:pPr>
        <w:spacing w:after="80"/>
      </w:pPr>
    </w:p>
    <w:p>
      <w:pPr>
        <w:pStyle w:val="Heading2"/>
      </w:pPr>
      <w:r>
        <w:t>9.3 Regla de decisión</w:t>
      </w:r>
    </w:p>
    <w:p>
      <w:r>
        <w:rPr>
          <w:b w:val="0"/>
          <w:i w:val="0"/>
        </w:rPr>
        <w:t xml:space="preserve">La regla se fija antes de ver los resultados: </w:t>
      </w:r>
      <w:r>
        <w:rPr>
          <w:b/>
          <w:i w:val="0"/>
        </w:rPr>
        <w:t>un modelo se considera útil si su RMSE en el bloque de prueba es inferior al del baseline naive de persistencia</w:t>
      </w:r>
      <w:r>
        <w:rPr>
          <w:b w:val="0"/>
          <w:i w:val="0"/>
        </w:rPr>
        <w:t>. Si ningún modelo cumple esa condición, el proyecto registra un resultado negativo, lo analiza y lo explica, sin modificar la definición del baseline para favorecer a los modelos.</w:t>
      </w:r>
    </w:p>
    <w:p>
      <w:pPr>
        <w:pStyle w:val="Heading2"/>
      </w:pPr>
      <w:r>
        <w:t>9.4 Diagnósticos previstos</w:t>
      </w:r>
    </w:p>
    <w:p>
      <w:pPr>
        <w:pStyle w:val="ListBullet"/>
        <w:spacing w:after="40"/>
        <w:ind w:left="397"/>
      </w:pPr>
      <w:r>
        <w:rPr>
          <w:b/>
          <w:i w:val="0"/>
        </w:rPr>
        <w:t>Colinealidad:</w:t>
      </w:r>
      <w:r>
        <w:rPr>
          <w:b w:val="0"/>
          <w:i w:val="0"/>
        </w:rPr>
        <w:t xml:space="preserve"> VIF de cada variable predictora, resultado del objetivo 3.</w:t>
      </w:r>
    </w:p>
    <w:p>
      <w:pPr>
        <w:pStyle w:val="ListBullet"/>
        <w:spacing w:after="40"/>
        <w:ind w:left="397"/>
      </w:pPr>
      <w:r>
        <w:rPr>
          <w:b/>
          <w:i w:val="0"/>
        </w:rPr>
        <w:t>Autocorrelación de residuos:</w:t>
      </w:r>
      <w:r>
        <w:rPr>
          <w:b w:val="0"/>
          <w:i w:val="0"/>
        </w:rPr>
        <w:t xml:space="preserve"> estadístico de Durbin–Watson sobre los residuos del modelo, para detectar si la inferencia clásica de los p-valores es aplicable.</w:t>
      </w:r>
    </w:p>
    <w:p>
      <w:pPr>
        <w:pStyle w:val="ListBullet"/>
        <w:spacing w:after="40"/>
        <w:ind w:left="397"/>
      </w:pPr>
      <w:r>
        <w:rPr>
          <w:b/>
          <w:i w:val="0"/>
        </w:rPr>
        <w:t>Residuales:</w:t>
      </w:r>
      <w:r>
        <w:rPr>
          <w:b w:val="0"/>
          <w:i w:val="0"/>
        </w:rPr>
        <w:t xml:space="preserve"> gráfico de residuos frente a valores predichos, para detectar patrones que indiquen que el modelo no captura la relación.</w:t>
      </w:r>
    </w:p>
    <w:p>
      <w:pPr>
        <w:pStyle w:val="ListBullet"/>
        <w:spacing w:after="40"/>
        <w:ind w:left="397"/>
      </w:pPr>
      <w:r>
        <w:rPr>
          <w:b/>
          <w:i w:val="0"/>
        </w:rPr>
        <w:t>Capacidad de extrapolación:</w:t>
      </w:r>
      <w:r>
        <w:rPr>
          <w:b w:val="0"/>
          <w:i w:val="0"/>
        </w:rPr>
        <w:t xml:space="preserve"> comparación del rango de valores de las variables predictoras en el bloque de prueba contra el rango del bloque de entrenamiento.</w:t>
      </w:r>
    </w:p>
    <w:p>
      <w:pPr>
        <w:pStyle w:val="ListBullet"/>
        <w:spacing w:after="40"/>
        <w:ind w:left="397"/>
      </w:pPr>
      <w:r>
        <w:rPr>
          <w:b/>
          <w:i w:val="0"/>
        </w:rPr>
        <w:t>Influencia de puntos:</w:t>
      </w:r>
      <w:r>
        <w:rPr>
          <w:b w:val="0"/>
          <w:i w:val="0"/>
        </w:rPr>
        <w:t xml:space="preserve"> detección de observaciones que alteran significativamente la estimación.</w:t>
      </w:r>
    </w:p>
    <w:p>
      <w:pPr>
        <w:pStyle w:val="Heading2"/>
      </w:pPr>
      <w:r>
        <w:t>9.5 Análisis de robustez y sensibilidad</w:t>
      </w:r>
    </w:p>
    <w:p>
      <w:r>
        <w:rPr>
          <w:b w:val="0"/>
          <w:i w:val="0"/>
        </w:rPr>
        <w:t>Para evitar que los resultados dependan de decisiones arbitrarias de construcción, se repite el análisis bajo variaciones deliberadas de las decisiones: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2286"/>
            <w:shd w:val="clear" w:color="auto" w:fill="1E3A5F"/>
            <w:vAlign w:val="center"/>
          </w:tcPr>
          <w:p>
            <w:pPr>
              <w:spacing w:before="40" w:after="40"/>
            </w:pPr>
            <w:r>
              <w:rPr>
                <w:b/>
                <w:i w:val="0"/>
                <w:color w:val="FFFFFF"/>
                <w:sz w:val="19"/>
              </w:rPr>
              <w:t>Decisión evaluada</w:t>
            </w:r>
          </w:p>
        </w:tc>
        <w:tc>
          <w:tcPr>
            <w:tcW w:type="dxa" w:w="3810"/>
            <w:shd w:val="clear" w:color="auto" w:fill="1E3A5F"/>
            <w:vAlign w:val="center"/>
          </w:tcPr>
          <w:p>
            <w:pPr>
              <w:spacing w:before="40" w:after="40"/>
            </w:pPr>
            <w:r>
              <w:rPr>
                <w:b/>
                <w:i w:val="0"/>
                <w:color w:val="FFFFFF"/>
                <w:sz w:val="19"/>
              </w:rPr>
              <w:t>Variante probada</w:t>
            </w:r>
          </w:p>
        </w:tc>
        <w:tc>
          <w:tcPr>
            <w:tcW w:type="dxa" w:w="3429"/>
            <w:shd w:val="clear" w:color="auto" w:fill="1E3A5F"/>
            <w:vAlign w:val="center"/>
          </w:tcPr>
          <w:p>
            <w:pPr>
              <w:spacing w:before="40" w:after="40"/>
            </w:pPr>
            <w:r>
              <w:rPr>
                <w:b/>
                <w:i w:val="0"/>
                <w:color w:val="FFFFFF"/>
                <w:sz w:val="19"/>
              </w:rPr>
              <w:t>Pregunta que responde</w:t>
            </w:r>
          </w:p>
        </w:tc>
      </w:tr>
      <w:tr>
        <w:trPr>
          <w:cantSplit w:val="true"/>
        </w:trPr>
        <w:tc>
          <w:tcPr>
            <w:tcW w:type="dxa" w:w="2286"/>
            <w:vAlign w:val="top"/>
          </w:tcPr>
          <w:p>
            <w:pPr>
              <w:spacing w:before="20" w:after="20" w:line="252" w:lineRule="auto"/>
            </w:pPr>
            <w:r>
              <w:rPr>
                <w:b w:val="0"/>
                <w:i w:val="0"/>
                <w:sz w:val="19"/>
              </w:rPr>
              <w:t>Serie de emisiones elegida</w:t>
            </w:r>
          </w:p>
        </w:tc>
        <w:tc>
          <w:tcPr>
            <w:tcW w:type="dxa" w:w="3810"/>
            <w:vAlign w:val="top"/>
          </w:tcPr>
          <w:p>
            <w:pPr>
              <w:spacing w:before="20" w:after="20" w:line="252" w:lineRule="auto"/>
            </w:pPr>
            <w:r>
              <w:rPr>
                <w:b w:val="0"/>
                <w:i w:val="0"/>
                <w:sz w:val="19"/>
              </w:rPr>
              <w:t>GEI total, CO₂ fósil e inventario oficial</w:t>
            </w:r>
          </w:p>
        </w:tc>
        <w:tc>
          <w:tcPr>
            <w:tcW w:type="dxa" w:w="3429"/>
            <w:vAlign w:val="top"/>
          </w:tcPr>
          <w:p>
            <w:pPr>
              <w:spacing w:before="20" w:after="20" w:line="252" w:lineRule="auto"/>
            </w:pPr>
            <w:r>
              <w:rPr>
                <w:b w:val="0"/>
                <w:i w:val="0"/>
                <w:sz w:val="19"/>
              </w:rPr>
              <w:t>¿La conclusión depende de la fuente de emisiones?</w:t>
            </w:r>
          </w:p>
        </w:tc>
      </w:tr>
      <w:tr>
        <w:trPr>
          <w:cantSplit w:val="true"/>
        </w:trPr>
        <w:tc>
          <w:tcPr>
            <w:tcW w:type="dxa" w:w="2286"/>
            <w:shd w:val="clear" w:color="auto" w:fill="F6F9FC"/>
            <w:vAlign w:val="top"/>
          </w:tcPr>
          <w:p>
            <w:pPr>
              <w:spacing w:before="20" w:after="20" w:line="252" w:lineRule="auto"/>
            </w:pPr>
            <w:r>
              <w:rPr>
                <w:b w:val="0"/>
                <w:i w:val="0"/>
                <w:sz w:val="19"/>
              </w:rPr>
              <w:t>Variable económica elegida</w:t>
            </w:r>
          </w:p>
        </w:tc>
        <w:tc>
          <w:tcPr>
            <w:tcW w:type="dxa" w:w="3810"/>
            <w:shd w:val="clear" w:color="auto" w:fill="F6F9FC"/>
            <w:vAlign w:val="top"/>
          </w:tcPr>
          <w:p>
            <w:pPr>
              <w:spacing w:before="20" w:after="20" w:line="252" w:lineRule="auto"/>
            </w:pPr>
            <w:r>
              <w:rPr>
                <w:b w:val="0"/>
                <w:i w:val="0"/>
                <w:sz w:val="19"/>
              </w:rPr>
              <w:t>Crecimiento del PBI y PBI per cápita</w:t>
            </w:r>
          </w:p>
        </w:tc>
        <w:tc>
          <w:tcPr>
            <w:tcW w:type="dxa" w:w="3429"/>
            <w:shd w:val="clear" w:color="auto" w:fill="F6F9FC"/>
            <w:vAlign w:val="top"/>
          </w:tcPr>
          <w:p>
            <w:pPr>
              <w:spacing w:before="20" w:after="20" w:line="252" w:lineRule="auto"/>
            </w:pPr>
            <w:r>
              <w:rPr>
                <w:b w:val="0"/>
                <w:i w:val="0"/>
                <w:sz w:val="19"/>
              </w:rPr>
              <w:t>¿La conclusión depende de cómo se representa la economía?</w:t>
            </w:r>
          </w:p>
        </w:tc>
      </w:tr>
      <w:tr>
        <w:trPr>
          <w:cantSplit w:val="true"/>
        </w:trPr>
        <w:tc>
          <w:tcPr>
            <w:tcW w:type="dxa" w:w="2286"/>
            <w:vAlign w:val="top"/>
          </w:tcPr>
          <w:p>
            <w:pPr>
              <w:spacing w:before="20" w:after="20" w:line="252" w:lineRule="auto"/>
            </w:pPr>
            <w:r>
              <w:rPr>
                <w:b w:val="0"/>
                <w:i w:val="0"/>
                <w:sz w:val="19"/>
              </w:rPr>
              <w:t>Definición de baseline</w:t>
            </w:r>
          </w:p>
        </w:tc>
        <w:tc>
          <w:tcPr>
            <w:tcW w:type="dxa" w:w="3810"/>
            <w:vAlign w:val="top"/>
          </w:tcPr>
          <w:p>
            <w:pPr>
              <w:spacing w:before="20" w:after="20" w:line="252" w:lineRule="auto"/>
            </w:pPr>
            <w:r>
              <w:rPr>
                <w:b w:val="0"/>
                <w:i w:val="0"/>
                <w:sz w:val="19"/>
              </w:rPr>
              <w:t>Persistencia y último valor constante</w:t>
            </w:r>
          </w:p>
        </w:tc>
        <w:tc>
          <w:tcPr>
            <w:tcW w:type="dxa" w:w="3429"/>
            <w:vAlign w:val="top"/>
          </w:tcPr>
          <w:p>
            <w:pPr>
              <w:spacing w:before="20" w:after="20" w:line="252" w:lineRule="auto"/>
            </w:pPr>
            <w:r>
              <w:rPr>
                <w:b w:val="0"/>
                <w:i w:val="0"/>
                <w:sz w:val="19"/>
              </w:rPr>
              <w:t>¿El veredicto depende de qué baseline se adopte?</w:t>
            </w:r>
          </w:p>
        </w:tc>
      </w:tr>
      <w:tr>
        <w:trPr>
          <w:cantSplit w:val="true"/>
        </w:trPr>
        <w:tc>
          <w:tcPr>
            <w:tcW w:type="dxa" w:w="2286"/>
            <w:shd w:val="clear" w:color="auto" w:fill="F6F9FC"/>
            <w:vAlign w:val="top"/>
          </w:tcPr>
          <w:p>
            <w:pPr>
              <w:spacing w:before="20" w:after="20" w:line="252" w:lineRule="auto"/>
            </w:pPr>
            <w:r>
              <w:rPr>
                <w:b w:val="0"/>
                <w:i w:val="0"/>
                <w:sz w:val="19"/>
              </w:rPr>
              <w:t>Control de tendencia</w:t>
            </w:r>
          </w:p>
        </w:tc>
        <w:tc>
          <w:tcPr>
            <w:tcW w:type="dxa" w:w="3810"/>
            <w:shd w:val="clear" w:color="auto" w:fill="F6F9FC"/>
            <w:vAlign w:val="top"/>
          </w:tcPr>
          <w:p>
            <w:pPr>
              <w:spacing w:before="20" w:after="20" w:line="252" w:lineRule="auto"/>
            </w:pPr>
            <w:r>
              <w:rPr>
                <w:b w:val="0"/>
                <w:i w:val="0"/>
                <w:sz w:val="19"/>
              </w:rPr>
              <w:t>Niveles, residuos de regresión y primeras diferencias</w:t>
            </w:r>
          </w:p>
        </w:tc>
        <w:tc>
          <w:tcPr>
            <w:tcW w:type="dxa" w:w="3429"/>
            <w:shd w:val="clear" w:color="auto" w:fill="F6F9FC"/>
            <w:vAlign w:val="top"/>
          </w:tcPr>
          <w:p>
            <w:pPr>
              <w:spacing w:before="20" w:after="20" w:line="252" w:lineRule="auto"/>
            </w:pPr>
            <w:r>
              <w:rPr>
                <w:b w:val="0"/>
                <w:i w:val="0"/>
                <w:sz w:val="19"/>
              </w:rPr>
              <w:t>¿El resultado se sostiene bajo distintos tratamientos de la tendencia?</w:t>
            </w:r>
          </w:p>
        </w:tc>
      </w:tr>
    </w:tbl>
    <w:p>
      <w:pPr>
        <w:spacing w:after="80"/>
      </w:pPr>
    </w:p>
    <w:p>
      <w:pPr>
        <w:pStyle w:val="Heading2"/>
      </w:pPr>
      <w:r>
        <w:t>9.6 Reproducibilidad</w:t>
      </w:r>
    </w:p>
    <w:p>
      <w:r>
        <w:rPr>
          <w:b w:val="0"/>
          <w:i w:val="0"/>
        </w:rPr>
        <w:t>Todos los cálculos descritos en este informe se ejecutan desde scripts versionados, con semilla fija en todo procedimiento estocástico. El resultado es que cualquier miembro del equipo, o cualquiera que reciba el repositorio, puede regenerar las mismas tablas y gráficos sin depender de pasos manuales.</w:t>
      </w:r>
    </w:p>
    <w:p>
      <w:pPr>
        <w:pStyle w:val="Heading1"/>
        <w:pBdr>
          <w:bottom w:val="single" w:sz="6" w:space="6" w:color="B9C7D6"/>
        </w:pBdr>
      </w:pPr>
      <w:r>
        <w:t>10. Extensión territorial prevista</w:t>
      </w:r>
    </w:p>
    <w:p>
      <w:r>
        <w:rPr>
          <w:b w:val="0"/>
          <w:i w:val="0"/>
        </w:rPr>
        <w:t>El análisis principal trabaja con datos agregados a nivel nacional. Como anexo de contexto, el trabajo amplía la mirada a las 24 jurisdicciones del país.</w:t>
      </w:r>
    </w:p>
    <w:p>
      <w:pPr>
        <w:pStyle w:val="Heading2"/>
      </w:pPr>
      <w:r>
        <w:t>10.1 Alcance de la extensión</w:t>
      </w:r>
    </w:p>
    <w:p>
      <w:pPr>
        <w:pStyle w:val="ListBullet"/>
        <w:spacing w:after="40"/>
        <w:ind w:left="397"/>
      </w:pPr>
      <w:r>
        <w:rPr>
          <w:b w:val="0"/>
          <w:i w:val="0"/>
        </w:rPr>
        <w:t>Comparar cómo evolucionaron la temperatura, la precipitación y el viento en cada jurisdicción.</w:t>
      </w:r>
    </w:p>
    <w:p>
      <w:pPr>
        <w:pStyle w:val="ListBullet"/>
        <w:spacing w:after="40"/>
        <w:ind w:left="397"/>
      </w:pPr>
      <w:r>
        <w:rPr>
          <w:b w:val="0"/>
          <w:i w:val="0"/>
        </w:rPr>
        <w:t>Identificar cuáles se calientan a mayor velocidad.</w:t>
      </w:r>
    </w:p>
    <w:p>
      <w:pPr>
        <w:pStyle w:val="ListBullet"/>
        <w:spacing w:after="40"/>
        <w:ind w:left="397"/>
      </w:pPr>
      <w:r>
        <w:rPr>
          <w:b w:val="0"/>
          <w:i w:val="0"/>
        </w:rPr>
        <w:t>Estimar a dónde apunta cada tendencia mediante extrapolación lineal simple.</w:t>
      </w:r>
    </w:p>
    <w:p>
      <w:pPr>
        <w:pStyle w:val="ListBullet"/>
        <w:spacing w:after="40"/>
        <w:ind w:left="397"/>
      </w:pPr>
      <w:r>
        <w:rPr>
          <w:b w:val="0"/>
          <w:i w:val="0"/>
        </w:rPr>
        <w:t>El PBI y los GEI se mantienen a nivel nacional: no existe una serie de producto bruto geográfico provincial que sea homogénea y comparable entre las 24 jurisdicciones.</w:t>
      </w:r>
    </w:p>
    <w:p>
      <w:pPr>
        <w:pStyle w:val="Heading2"/>
      </w:pPr>
      <w:r>
        <w:t>10.2 Procedimiento previsto</w:t>
      </w:r>
    </w:p>
    <w:p>
      <w:pPr>
        <w:pStyle w:val="ListBullet"/>
        <w:spacing w:after="40"/>
        <w:ind w:left="397"/>
      </w:pPr>
      <w:r>
        <w:rPr>
          <w:b w:val="0"/>
          <w:i w:val="0"/>
        </w:rPr>
        <w:t>Fuente: proyecto POWER de la NASA, accesible por API pública y sin clave, con temperatura a 2 m, precipitación corregida y viento a 2 m, en frecuencia mensual, desde 1981.</w:t>
      </w:r>
    </w:p>
    <w:p>
      <w:pPr>
        <w:pStyle w:val="ListBullet"/>
        <w:spacing w:after="40"/>
        <w:ind w:left="397"/>
      </w:pPr>
      <w:r>
        <w:rPr>
          <w:b w:val="0"/>
          <w:i w:val="0"/>
        </w:rPr>
        <w:t>Punto de referencia: la ciudad capital de cada provincia, lo que suma 24 puntos.</w:t>
      </w:r>
    </w:p>
    <w:p>
      <w:pPr>
        <w:pStyle w:val="ListBullet"/>
        <w:spacing w:after="40"/>
        <w:ind w:left="397"/>
      </w:pPr>
      <w:r>
        <w:rPr>
          <w:b w:val="0"/>
          <w:i w:val="0"/>
        </w:rPr>
        <w:t>Agregación: promedio anual de cada indicador y regresión lineal simple del indicador contra el año para estimar la tendencia, con su p-valor.</w:t>
      </w:r>
    </w:p>
    <w:p>
      <w:pPr>
        <w:pStyle w:val="ListBullet"/>
        <w:spacing w:after="40"/>
        <w:ind w:left="397"/>
      </w:pPr>
      <w:r>
        <w:rPr>
          <w:b w:val="0"/>
          <w:i w:val="0"/>
        </w:rPr>
        <w:t>Proyección: extrapolación lineal de la tendencia a 2030 y 2040, presentada como proyección simple y transparente, no como pronóstico climático oficial.</w:t>
      </w:r>
    </w:p>
    <w:p>
      <w:pPr>
        <w:pStyle w:val="Heading2"/>
      </w:pPr>
      <w:r>
        <w:t>10.3 Advertencias</w:t>
      </w:r>
    </w:p>
    <w:tbl>
      <w:tblPr>
        <w:tblW w:type="auto" w:w="0"/>
        <w:jc w:val="center"/>
        <w:tblLayout w:type="fixed"/>
        <w:tblLook w:firstColumn="1" w:firstRow="1" w:lastColumn="0" w:lastRow="0" w:noHBand="0" w:noVBand="1" w:val="04A0"/>
      </w:tblPr>
      <w:tblGrid>
        <w:gridCol w:w="9518"/>
      </w:tblGrid>
      <w:tr>
        <w:tc>
          <w:tcPr>
            <w:tcW w:type="dxa" w:w="9524"/>
            <w:tcBorders>
              <w:top w:val="single" w:sz="4" w:space="0" w:color="B9C7D6"/>
              <w:bottom w:val="single" w:sz="4" w:space="0" w:color="B9C7D6"/>
              <w:right w:val="single" w:sz="4" w:space="0" w:color="B9C7D6"/>
              <w:left w:val="single" w:sz="18" w:space="0" w:color="1E3A5F"/>
            </w:tcBorders>
            <w:shd w:val="clear" w:color="auto" w:fill="E8EEF5"/>
          </w:tcPr>
          <w:p>
            <w:pPr>
              <w:spacing w:before="40" w:after="40"/>
            </w:pPr>
            <w:r>
              <w:rPr>
                <w:b/>
                <w:i w:val="0"/>
                <w:color w:val="1E3A5F"/>
                <w:sz w:val="21"/>
              </w:rPr>
              <w:t>Alcance de la extensión</w:t>
            </w:r>
          </w:p>
          <w:p>
            <w:pPr>
              <w:spacing w:after="40"/>
            </w:pPr>
            <w:r>
              <w:rPr>
                <w:b w:val="0"/>
                <w:i w:val="0"/>
                <w:sz w:val="20"/>
              </w:rPr>
              <w:t>Un único punto por provincia no representa la superficie de una jurisdicción extensa, que puede abarcar hasta tres mil kilómetros de longitud.</w:t>
            </w:r>
          </w:p>
          <w:p>
            <w:pPr>
              <w:spacing w:after="40"/>
            </w:pPr>
            <w:r>
              <w:rPr>
                <w:b w:val="0"/>
                <w:i w:val="0"/>
                <w:sz w:val="20"/>
              </w:rPr>
              <w:t>La proyección lineal supone que la tendencia observada se mantiene indefinidamente, supuesto que no se sostiene en un horizonte largo.</w:t>
            </w:r>
          </w:p>
          <w:p>
            <w:pPr>
              <w:spacing w:after="80"/>
            </w:pPr>
            <w:r>
              <w:rPr>
                <w:b w:val="0"/>
                <w:i w:val="0"/>
                <w:sz w:val="20"/>
              </w:rPr>
              <w:t>La extensión describe patrones territoriales, pero no cruza el indicador climático con variables económicas provinciales, porque no existe un conjunto de datos confiable y comparable que lo permita.</w:t>
            </w:r>
          </w:p>
        </w:tc>
      </w:tr>
    </w:tbl>
    <w:p>
      <w:pPr>
        <w:spacing w:after="80"/>
      </w:pPr>
    </w:p>
    <w:p>
      <w:pPr>
        <w:pStyle w:val="Heading1"/>
        <w:pBdr>
          <w:bottom w:val="single" w:sz="6" w:space="6" w:color="B9C7D6"/>
        </w:pBdr>
      </w:pPr>
      <w:r>
        <w:t>11. Gestión del proyecto</w:t>
      </w:r>
    </w:p>
    <w:p>
      <w:r>
        <w:rPr>
          <w:b w:val="0"/>
          <w:i w:val="0"/>
        </w:rPr>
        <w:t>La gestión del proyecto se detalla en el documento de Plan de Proyecto que acompaña a este informe. Se resume aquí lo esencial.</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4759"/>
        <w:gridCol w:w="4759"/>
      </w:tblGrid>
      <w:tr>
        <w:trPr>
          <w:cantSplit w:val="true"/>
          <w:tblHeader w:val="true"/>
        </w:trPr>
        <w:tc>
          <w:tcPr>
            <w:tcW w:type="dxa" w:w="1714"/>
            <w:shd w:val="clear" w:color="auto" w:fill="1E3A5F"/>
            <w:vAlign w:val="center"/>
          </w:tcPr>
          <w:p>
            <w:pPr>
              <w:spacing w:before="40" w:after="40"/>
            </w:pPr>
            <w:r>
              <w:rPr>
                <w:b/>
                <w:i w:val="0"/>
                <w:color w:val="FFFFFF"/>
                <w:sz w:val="19"/>
              </w:rPr>
              <w:t>Aspecto</w:t>
            </w:r>
          </w:p>
        </w:tc>
        <w:tc>
          <w:tcPr>
            <w:tcW w:type="dxa" w:w="7810"/>
            <w:shd w:val="clear" w:color="auto" w:fill="1E3A5F"/>
            <w:vAlign w:val="center"/>
          </w:tcPr>
          <w:p>
            <w:pPr>
              <w:spacing w:before="40" w:after="40"/>
            </w:pPr>
            <w:r>
              <w:rPr>
                <w:b/>
                <w:i w:val="0"/>
                <w:color w:val="FFFFFF"/>
                <w:sz w:val="19"/>
              </w:rPr>
              <w:t>Definición</w:t>
            </w:r>
          </w:p>
        </w:tc>
      </w:tr>
      <w:tr>
        <w:trPr>
          <w:cantSplit w:val="true"/>
        </w:trPr>
        <w:tc>
          <w:tcPr>
            <w:tcW w:type="dxa" w:w="1714"/>
            <w:vAlign w:val="top"/>
          </w:tcPr>
          <w:p>
            <w:pPr>
              <w:spacing w:before="20" w:after="20" w:line="252" w:lineRule="auto"/>
            </w:pPr>
            <w:r>
              <w:rPr>
                <w:b w:val="0"/>
                <w:i w:val="0"/>
                <w:sz w:val="19"/>
              </w:rPr>
              <w:t>Metodología</w:t>
            </w:r>
          </w:p>
        </w:tc>
        <w:tc>
          <w:tcPr>
            <w:tcW w:type="dxa" w:w="7810"/>
            <w:vAlign w:val="top"/>
          </w:tcPr>
          <w:p>
            <w:pPr>
              <w:spacing w:before="20" w:after="20" w:line="252" w:lineRule="auto"/>
            </w:pPr>
            <w:r>
              <w:rPr>
                <w:b w:val="0"/>
                <w:i w:val="0"/>
                <w:sz w:val="19"/>
              </w:rPr>
              <w:t>CRISP-DM, seis fases con compuertas de avance entre ellas</w:t>
            </w:r>
          </w:p>
        </w:tc>
      </w:tr>
      <w:tr>
        <w:trPr>
          <w:cantSplit w:val="true"/>
        </w:trPr>
        <w:tc>
          <w:tcPr>
            <w:tcW w:type="dxa" w:w="1714"/>
            <w:shd w:val="clear" w:color="auto" w:fill="F6F9FC"/>
            <w:vAlign w:val="top"/>
          </w:tcPr>
          <w:p>
            <w:pPr>
              <w:spacing w:before="20" w:after="20" w:line="252" w:lineRule="auto"/>
            </w:pPr>
            <w:r>
              <w:rPr>
                <w:b w:val="0"/>
                <w:i w:val="0"/>
                <w:sz w:val="19"/>
              </w:rPr>
              <w:t>Duración</w:t>
            </w:r>
          </w:p>
        </w:tc>
        <w:tc>
          <w:tcPr>
            <w:tcW w:type="dxa" w:w="7810"/>
            <w:shd w:val="clear" w:color="auto" w:fill="F6F9FC"/>
            <w:vAlign w:val="top"/>
          </w:tcPr>
          <w:p>
            <w:pPr>
              <w:spacing w:before="20" w:after="20" w:line="252" w:lineRule="auto"/>
            </w:pPr>
            <w:r>
              <w:rPr>
                <w:b w:val="0"/>
                <w:i w:val="0"/>
                <w:sz w:val="19"/>
              </w:rPr>
              <w:t>11 semanas, del 14/09/2026 al 30/11/2026</w:t>
            </w:r>
          </w:p>
        </w:tc>
      </w:tr>
      <w:tr>
        <w:trPr>
          <w:cantSplit w:val="true"/>
        </w:trPr>
        <w:tc>
          <w:tcPr>
            <w:tcW w:type="dxa" w:w="1714"/>
            <w:vAlign w:val="top"/>
          </w:tcPr>
          <w:p>
            <w:pPr>
              <w:spacing w:before="20" w:after="20" w:line="252" w:lineRule="auto"/>
            </w:pPr>
            <w:r>
              <w:rPr>
                <w:b w:val="0"/>
                <w:i w:val="0"/>
                <w:sz w:val="19"/>
              </w:rPr>
              <w:t>Equipo</w:t>
            </w:r>
          </w:p>
        </w:tc>
        <w:tc>
          <w:tcPr>
            <w:tcW w:type="dxa" w:w="7810"/>
            <w:vAlign w:val="top"/>
          </w:tcPr>
          <w:p>
            <w:pPr>
              <w:spacing w:before="20" w:after="20" w:line="252" w:lineRule="auto"/>
            </w:pPr>
            <w:r>
              <w:rPr>
                <w:b w:val="0"/>
                <w:i w:val="0"/>
                <w:sz w:val="19"/>
              </w:rPr>
              <w:t>Cuatro integrantes con roles de coordinación, ingeniería de datos, análisis estadístico y documentación</w:t>
            </w:r>
          </w:p>
        </w:tc>
      </w:tr>
      <w:tr>
        <w:trPr>
          <w:cantSplit w:val="true"/>
        </w:trPr>
        <w:tc>
          <w:tcPr>
            <w:tcW w:type="dxa" w:w="1714"/>
            <w:shd w:val="clear" w:color="auto" w:fill="F6F9FC"/>
            <w:vAlign w:val="top"/>
          </w:tcPr>
          <w:p>
            <w:pPr>
              <w:spacing w:before="20" w:after="20" w:line="252" w:lineRule="auto"/>
            </w:pPr>
            <w:r>
              <w:rPr>
                <w:b w:val="0"/>
                <w:i w:val="0"/>
                <w:sz w:val="19"/>
              </w:rPr>
              <w:t>Hitos</w:t>
            </w:r>
          </w:p>
        </w:tc>
        <w:tc>
          <w:tcPr>
            <w:tcW w:type="dxa" w:w="7810"/>
            <w:shd w:val="clear" w:color="auto" w:fill="F6F9FC"/>
            <w:vAlign w:val="top"/>
          </w:tcPr>
          <w:p>
            <w:pPr>
              <w:spacing w:before="20" w:after="20" w:line="252" w:lineRule="auto"/>
            </w:pPr>
            <w:r>
              <w:rPr>
                <w:b w:val="0"/>
                <w:i w:val="0"/>
                <w:sz w:val="19"/>
              </w:rPr>
              <w:t>Ocho hitos con fecha objetivo y condición de cierre verificable</w:t>
            </w:r>
          </w:p>
        </w:tc>
      </w:tr>
      <w:tr>
        <w:trPr>
          <w:cantSplit w:val="true"/>
        </w:trPr>
        <w:tc>
          <w:tcPr>
            <w:tcW w:type="dxa" w:w="1714"/>
            <w:vAlign w:val="top"/>
          </w:tcPr>
          <w:p>
            <w:pPr>
              <w:spacing w:before="20" w:after="20" w:line="252" w:lineRule="auto"/>
            </w:pPr>
            <w:r>
              <w:rPr>
                <w:b w:val="0"/>
                <w:i w:val="0"/>
                <w:sz w:val="19"/>
              </w:rPr>
              <w:t>Riesgos</w:t>
            </w:r>
          </w:p>
        </w:tc>
        <w:tc>
          <w:tcPr>
            <w:tcW w:type="dxa" w:w="7810"/>
            <w:vAlign w:val="top"/>
          </w:tcPr>
          <w:p>
            <w:pPr>
              <w:spacing w:before="20" w:after="20" w:line="252" w:lineRule="auto"/>
            </w:pPr>
            <w:r>
              <w:rPr>
                <w:b w:val="0"/>
                <w:i w:val="0"/>
                <w:sz w:val="19"/>
              </w:rPr>
              <w:t>Doce riesgos identificados, cada uno con tratamiento preventivo y plan de contingencia</w:t>
            </w:r>
          </w:p>
        </w:tc>
      </w:tr>
      <w:tr>
        <w:trPr>
          <w:cantSplit w:val="true"/>
        </w:trPr>
        <w:tc>
          <w:tcPr>
            <w:tcW w:type="dxa" w:w="1714"/>
            <w:shd w:val="clear" w:color="auto" w:fill="F6F9FC"/>
            <w:vAlign w:val="top"/>
          </w:tcPr>
          <w:p>
            <w:pPr>
              <w:spacing w:before="20" w:after="20" w:line="252" w:lineRule="auto"/>
            </w:pPr>
            <w:r>
              <w:rPr>
                <w:b w:val="0"/>
                <w:i w:val="0"/>
                <w:sz w:val="19"/>
              </w:rPr>
              <w:t>Esfuerzo</w:t>
            </w:r>
          </w:p>
        </w:tc>
        <w:tc>
          <w:tcPr>
            <w:tcW w:type="dxa" w:w="7810"/>
            <w:shd w:val="clear" w:color="auto" w:fill="F6F9FC"/>
            <w:vAlign w:val="top"/>
          </w:tcPr>
          <w:p>
            <w:pPr>
              <w:spacing w:before="20" w:after="20" w:line="252" w:lineRule="auto"/>
            </w:pPr>
            <w:r>
              <w:rPr>
                <w:b w:val="0"/>
                <w:i w:val="0"/>
                <w:sz w:val="19"/>
              </w:rPr>
              <w:t>Ciento cuarenta horas-persona repartidas entre las seis fases</w:t>
            </w:r>
          </w:p>
        </w:tc>
      </w:tr>
    </w:tbl>
    <w:p>
      <w:pPr>
        <w:spacing w:after="80"/>
      </w:pPr>
    </w:p>
    <w:p>
      <w:pPr>
        <w:pStyle w:val="Heading1"/>
        <w:pBdr>
          <w:bottom w:val="single" w:sz="6" w:space="6" w:color="B9C7D6"/>
        </w:pBdr>
      </w:pPr>
      <w:r>
        <w:t>12. Implementación y despliegue previstos</w:t>
      </w:r>
    </w:p>
    <w:p>
      <w:pPr>
        <w:pStyle w:val="ListBullet"/>
        <w:spacing w:after="40"/>
        <w:ind w:left="397"/>
      </w:pPr>
      <w:r>
        <w:rPr>
          <w:b/>
          <w:i w:val="0"/>
        </w:rPr>
        <w:t>Interfaz de consulta:</w:t>
      </w:r>
      <w:r>
        <w:rPr>
          <w:b w:val="0"/>
          <w:i w:val="0"/>
        </w:rPr>
        <w:t xml:space="preserve"> una aplicación web donde el usuario navega por los resultados de los seis objetivos, con gráficos interactivos y el detalle de los procedimientos estadísticos aplicados.</w:t>
      </w:r>
    </w:p>
    <w:p>
      <w:pPr>
        <w:pStyle w:val="ListBullet"/>
        <w:spacing w:after="40"/>
        <w:ind w:left="397"/>
      </w:pPr>
      <w:r>
        <w:rPr>
          <w:b/>
          <w:i w:val="0"/>
        </w:rPr>
        <w:t>Documento de uso:</w:t>
      </w:r>
      <w:r>
        <w:rPr>
          <w:b w:val="0"/>
          <w:i w:val="0"/>
        </w:rPr>
        <w:t xml:space="preserve"> un archivo que explique cómo instalar las dependencias y levantar la interfaz, para que cualquier destinatario pueda reproducir la presentación sin asistencia.</w:t>
      </w:r>
    </w:p>
    <w:p>
      <w:pPr>
        <w:pStyle w:val="ListBullet"/>
        <w:spacing w:after="40"/>
        <w:ind w:left="397"/>
      </w:pPr>
      <w:r>
        <w:rPr>
          <w:b/>
          <w:i w:val="0"/>
        </w:rPr>
        <w:t>Informe final:</w:t>
      </w:r>
      <w:r>
        <w:rPr>
          <w:b w:val="0"/>
          <w:i w:val="0"/>
        </w:rPr>
        <w:t xml:space="preserve"> este documento, que sigue la estructura exigida por la cátedra.</w:t>
      </w:r>
    </w:p>
    <w:p>
      <w:pPr>
        <w:pStyle w:val="ListBullet"/>
        <w:spacing w:after="40"/>
        <w:ind w:left="397"/>
      </w:pPr>
      <w:r>
        <w:rPr>
          <w:b/>
          <w:i w:val="0"/>
        </w:rPr>
        <w:t>Presentación oral:</w:t>
      </w:r>
      <w:r>
        <w:rPr>
          <w:b w:val="0"/>
          <w:i w:val="0"/>
        </w:rPr>
        <w:t xml:space="preserve"> una defensa de 10 a 15 minutos con apoyo visual.</w:t>
      </w:r>
    </w:p>
    <w:p>
      <w:pPr>
        <w:pStyle w:val="ListBullet"/>
        <w:spacing w:after="40"/>
        <w:ind w:left="397"/>
      </w:pPr>
      <w:r>
        <w:rPr>
          <w:b/>
          <w:i w:val="0"/>
        </w:rPr>
        <w:t>Plan de actualización:</w:t>
      </w:r>
      <w:r>
        <w:rPr>
          <w:b w:val="0"/>
          <w:i w:val="0"/>
        </w:rPr>
        <w:t xml:space="preserve"> el conjunto de datos se entrega con la fecha de corte de cada fuente, de modo que una ejecución futura pueda comparar contra el período cubierto.</w:t>
      </w:r>
    </w:p>
    <w:p>
      <w:pPr>
        <w:pStyle w:val="Heading1"/>
        <w:pBdr>
          <w:bottom w:val="single" w:sz="6" w:space="6" w:color="B9C7D6"/>
        </w:pBdr>
      </w:pPr>
      <w:r>
        <w:t>13. Riesgos, consideraciones éticas y limitaciones anticipadas</w:t>
      </w:r>
    </w:p>
    <w:p>
      <w:r>
        <w:rPr>
          <w:b w:val="0"/>
          <w:i w:val="0"/>
        </w:rPr>
        <w:t>Este apartado anticipa los problemas que el análisis puede enfrentar, con el fin de que no sorprendan al lector y puedan ser discutidos con fundamento.</w:t>
      </w:r>
    </w:p>
    <w:p>
      <w:pPr>
        <w:pStyle w:val="Heading2"/>
      </w:pPr>
      <w:r>
        <w:t>13.1 Consideraciones éticas</w:t>
      </w:r>
    </w:p>
    <w:p>
      <w:pPr>
        <w:pStyle w:val="ListBullet"/>
        <w:spacing w:after="40"/>
        <w:ind w:left="397"/>
      </w:pPr>
      <w:r>
        <w:rPr>
          <w:b w:val="0"/>
          <w:i w:val="0"/>
        </w:rPr>
        <w:t>Los datos utilizados son públicos y de acceso gratuito; no se trabaja con información sensible de personas ni con datos personales.</w:t>
      </w:r>
    </w:p>
    <w:p>
      <w:pPr>
        <w:pStyle w:val="ListBullet"/>
        <w:spacing w:after="40"/>
        <w:ind w:left="397"/>
      </w:pPr>
      <w:r>
        <w:rPr>
          <w:b w:val="0"/>
          <w:i w:val="0"/>
        </w:rPr>
        <w:t>Se respetan las licencias declaradas por cada organismo y se cita la fuente en todos los casos.</w:t>
      </w:r>
    </w:p>
    <w:p>
      <w:pPr>
        <w:pStyle w:val="ListBullet"/>
        <w:spacing w:after="40"/>
        <w:ind w:left="397"/>
      </w:pPr>
      <w:r>
        <w:rPr>
          <w:b w:val="0"/>
          <w:i w:val="0"/>
        </w:rPr>
        <w:t>Los resultados se presentan con su incertidumbre asociada, sin convertir una correlación en una afirmación causal.</w:t>
      </w:r>
    </w:p>
    <w:p>
      <w:pPr>
        <w:pStyle w:val="ListBullet"/>
        <w:spacing w:after="40"/>
        <w:ind w:left="397"/>
      </w:pPr>
      <w:r>
        <w:rPr>
          <w:b w:val="0"/>
          <w:i w:val="0"/>
        </w:rPr>
        <w:t>Los datos crudos se conservan sin modificar y todo dato derivado es trazable a su fuente.</w:t>
      </w:r>
    </w:p>
    <w:p>
      <w:pPr>
        <w:pStyle w:val="Heading2"/>
      </w:pPr>
      <w:r>
        <w:t>13.2 Limitaciones metodológicas anticipadas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2476"/>
            <w:shd w:val="clear" w:color="auto" w:fill="1E3A5F"/>
            <w:vAlign w:val="center"/>
          </w:tcPr>
          <w:p>
            <w:pPr>
              <w:spacing w:before="40" w:after="40"/>
            </w:pPr>
            <w:r>
              <w:rPr>
                <w:b/>
                <w:i w:val="0"/>
                <w:color w:val="FFFFFF"/>
                <w:sz w:val="19"/>
              </w:rPr>
              <w:t>Limitación</w:t>
            </w:r>
          </w:p>
        </w:tc>
        <w:tc>
          <w:tcPr>
            <w:tcW w:type="dxa" w:w="3238"/>
            <w:shd w:val="clear" w:color="auto" w:fill="1E3A5F"/>
            <w:vAlign w:val="center"/>
          </w:tcPr>
          <w:p>
            <w:pPr>
              <w:spacing w:before="40" w:after="40"/>
            </w:pPr>
            <w:r>
              <w:rPr>
                <w:b/>
                <w:i w:val="0"/>
                <w:color w:val="FFFFFF"/>
                <w:sz w:val="19"/>
              </w:rPr>
              <w:t>Alcance</w:t>
            </w:r>
          </w:p>
        </w:tc>
        <w:tc>
          <w:tcPr>
            <w:tcW w:type="dxa" w:w="3810"/>
            <w:shd w:val="clear" w:color="auto" w:fill="1E3A5F"/>
            <w:vAlign w:val="center"/>
          </w:tcPr>
          <w:p>
            <w:pPr>
              <w:spacing w:before="40" w:after="40"/>
            </w:pPr>
            <w:r>
              <w:rPr>
                <w:b/>
                <w:i w:val="0"/>
                <w:color w:val="FFFFFF"/>
                <w:sz w:val="19"/>
              </w:rPr>
              <w:t>Cómo se maneja en el informe</w:t>
            </w:r>
          </w:p>
        </w:tc>
      </w:tr>
      <w:tr>
        <w:trPr>
          <w:cantSplit w:val="true"/>
        </w:trPr>
        <w:tc>
          <w:tcPr>
            <w:tcW w:type="dxa" w:w="2476"/>
            <w:vAlign w:val="top"/>
          </w:tcPr>
          <w:p>
            <w:pPr>
              <w:spacing w:before="20" w:after="20" w:line="252" w:lineRule="auto"/>
            </w:pPr>
            <w:r>
              <w:rPr>
                <w:b w:val="0"/>
                <w:i w:val="0"/>
                <w:sz w:val="19"/>
              </w:rPr>
              <w:t>Correlación no implica causalidad</w:t>
            </w:r>
          </w:p>
        </w:tc>
        <w:tc>
          <w:tcPr>
            <w:tcW w:type="dxa" w:w="3238"/>
            <w:vAlign w:val="top"/>
          </w:tcPr>
          <w:p>
            <w:pPr>
              <w:spacing w:before="20" w:after="20" w:line="252" w:lineRule="auto"/>
            </w:pPr>
            <w:r>
              <w:rPr>
                <w:b w:val="0"/>
                <w:i w:val="0"/>
                <w:sz w:val="19"/>
              </w:rPr>
              <w:t>Afecta la interpretación de todas las correlaciones</w:t>
            </w:r>
          </w:p>
        </w:tc>
        <w:tc>
          <w:tcPr>
            <w:tcW w:type="dxa" w:w="3810"/>
            <w:vAlign w:val="top"/>
          </w:tcPr>
          <w:p>
            <w:pPr>
              <w:spacing w:before="20" w:after="20" w:line="252" w:lineRule="auto"/>
            </w:pPr>
            <w:r>
              <w:rPr>
                <w:b w:val="0"/>
                <w:i w:val="0"/>
                <w:sz w:val="19"/>
              </w:rPr>
              <w:t>Se reporta siempre la versión detrendizada y se limita el lenguaje a asociación</w:t>
            </w:r>
          </w:p>
        </w:tc>
      </w:tr>
      <w:tr>
        <w:trPr>
          <w:cantSplit w:val="true"/>
        </w:trPr>
        <w:tc>
          <w:tcPr>
            <w:tcW w:type="dxa" w:w="2476"/>
            <w:shd w:val="clear" w:color="auto" w:fill="F6F9FC"/>
            <w:vAlign w:val="top"/>
          </w:tcPr>
          <w:p>
            <w:pPr>
              <w:spacing w:before="20" w:after="20" w:line="252" w:lineRule="auto"/>
            </w:pPr>
            <w:r>
              <w:rPr>
                <w:b w:val="0"/>
                <w:i w:val="0"/>
                <w:sz w:val="19"/>
              </w:rPr>
              <w:t>Series no estacionarias</w:t>
            </w:r>
          </w:p>
        </w:tc>
        <w:tc>
          <w:tcPr>
            <w:tcW w:type="dxa" w:w="3238"/>
            <w:shd w:val="clear" w:color="auto" w:fill="F6F9FC"/>
            <w:vAlign w:val="top"/>
          </w:tcPr>
          <w:p>
            <w:pPr>
              <w:spacing w:before="20" w:after="20" w:line="252" w:lineRule="auto"/>
            </w:pPr>
            <w:r>
              <w:rPr>
                <w:b w:val="0"/>
                <w:i w:val="0"/>
                <w:sz w:val="19"/>
              </w:rPr>
              <w:t>Afecta la validez de los p-valores calculados en niveles</w:t>
            </w:r>
          </w:p>
        </w:tc>
        <w:tc>
          <w:tcPr>
            <w:tcW w:type="dxa" w:w="3810"/>
            <w:shd w:val="clear" w:color="auto" w:fill="F6F9FC"/>
            <w:vAlign w:val="top"/>
          </w:tcPr>
          <w:p>
            <w:pPr>
              <w:spacing w:before="20" w:after="20" w:line="252" w:lineRule="auto"/>
            </w:pPr>
            <w:r>
              <w:rPr>
                <w:b w:val="0"/>
                <w:i w:val="0"/>
                <w:sz w:val="19"/>
              </w:rPr>
              <w:t>Se cuantifica la autocorrelación y se trabaja además sobre residuos y primeras diferencias</w:t>
            </w:r>
          </w:p>
        </w:tc>
      </w:tr>
      <w:tr>
        <w:trPr>
          <w:cantSplit w:val="true"/>
        </w:trPr>
        <w:tc>
          <w:tcPr>
            <w:tcW w:type="dxa" w:w="2476"/>
            <w:vAlign w:val="top"/>
          </w:tcPr>
          <w:p>
            <w:pPr>
              <w:spacing w:before="20" w:after="20" w:line="252" w:lineRule="auto"/>
            </w:pPr>
            <w:r>
              <w:rPr>
                <w:b w:val="0"/>
                <w:i w:val="0"/>
                <w:sz w:val="19"/>
              </w:rPr>
              <w:t>Número limitado de observaciones</w:t>
            </w:r>
          </w:p>
        </w:tc>
        <w:tc>
          <w:tcPr>
            <w:tcW w:type="dxa" w:w="3238"/>
            <w:vAlign w:val="top"/>
          </w:tcPr>
          <w:p>
            <w:pPr>
              <w:spacing w:before="20" w:after="20" w:line="252" w:lineRule="auto"/>
            </w:pPr>
            <w:r>
              <w:rPr>
                <w:b w:val="0"/>
                <w:i w:val="0"/>
                <w:sz w:val="19"/>
              </w:rPr>
              <w:t>Reduce la potencia estadística y el poder de detección de efectos</w:t>
            </w:r>
          </w:p>
        </w:tc>
        <w:tc>
          <w:tcPr>
            <w:tcW w:type="dxa" w:w="3810"/>
            <w:vAlign w:val="top"/>
          </w:tcPr>
          <w:p>
            <w:pPr>
              <w:spacing w:before="20" w:after="20" w:line="252" w:lineRule="auto"/>
            </w:pPr>
            <w:r>
              <w:rPr>
                <w:b w:val="0"/>
                <w:i w:val="0"/>
                <w:sz w:val="19"/>
              </w:rPr>
              <w:t>Se declara el umbral mínimo detectable y se informa qué efectos no pueden descartarse</w:t>
            </w:r>
          </w:p>
        </w:tc>
      </w:tr>
      <w:tr>
        <w:trPr>
          <w:cantSplit w:val="true"/>
        </w:trPr>
        <w:tc>
          <w:tcPr>
            <w:tcW w:type="dxa" w:w="2476"/>
            <w:shd w:val="clear" w:color="auto" w:fill="F6F9FC"/>
            <w:vAlign w:val="top"/>
          </w:tcPr>
          <w:p>
            <w:pPr>
              <w:spacing w:before="20" w:after="20" w:line="252" w:lineRule="auto"/>
            </w:pPr>
            <w:r>
              <w:rPr>
                <w:b w:val="0"/>
                <w:i w:val="0"/>
                <w:sz w:val="19"/>
              </w:rPr>
              <w:t>Periodo histórico corto en términos climáticos</w:t>
            </w:r>
          </w:p>
        </w:tc>
        <w:tc>
          <w:tcPr>
            <w:tcW w:type="dxa" w:w="3238"/>
            <w:shd w:val="clear" w:color="auto" w:fill="F6F9FC"/>
            <w:vAlign w:val="top"/>
          </w:tcPr>
          <w:p>
            <w:pPr>
              <w:spacing w:before="20" w:after="20" w:line="252" w:lineRule="auto"/>
            </w:pPr>
            <w:r>
              <w:rPr>
                <w:b w:val="0"/>
                <w:i w:val="0"/>
                <w:sz w:val="19"/>
              </w:rPr>
              <w:t>Sesenta y cuatro años son pocos para caracterizar la variabilidad climática</w:t>
            </w:r>
          </w:p>
        </w:tc>
        <w:tc>
          <w:tcPr>
            <w:tcW w:type="dxa" w:w="3810"/>
            <w:shd w:val="clear" w:color="auto" w:fill="F6F9FC"/>
            <w:vAlign w:val="top"/>
          </w:tcPr>
          <w:p>
            <w:pPr>
              <w:spacing w:before="20" w:after="20" w:line="252" w:lineRule="auto"/>
            </w:pPr>
            <w:r>
              <w:rPr>
                <w:b w:val="0"/>
                <w:i w:val="0"/>
                <w:sz w:val="19"/>
              </w:rPr>
              <w:t>Se evita afirmar tendencias de largo plazo y se presenta como análisis de período</w:t>
            </w:r>
          </w:p>
        </w:tc>
      </w:tr>
      <w:tr>
        <w:trPr>
          <w:cantSplit w:val="true"/>
        </w:trPr>
        <w:tc>
          <w:tcPr>
            <w:tcW w:type="dxa" w:w="2476"/>
            <w:vAlign w:val="top"/>
          </w:tcPr>
          <w:p>
            <w:pPr>
              <w:spacing w:before="20" w:after="20" w:line="252" w:lineRule="auto"/>
            </w:pPr>
            <w:r>
              <w:rPr>
                <w:b w:val="0"/>
                <w:i w:val="0"/>
                <w:sz w:val="19"/>
              </w:rPr>
              <w:t>Variables omitidas</w:t>
            </w:r>
          </w:p>
        </w:tc>
        <w:tc>
          <w:tcPr>
            <w:tcW w:type="dxa" w:w="3238"/>
            <w:vAlign w:val="top"/>
          </w:tcPr>
          <w:p>
            <w:pPr>
              <w:spacing w:before="20" w:after="20" w:line="252" w:lineRule="auto"/>
            </w:pPr>
            <w:r>
              <w:rPr>
                <w:b w:val="0"/>
                <w:i w:val="0"/>
                <w:sz w:val="19"/>
              </w:rPr>
              <w:t>El modelo no incluye energía, uso del suelo, estructura industrial ni población</w:t>
            </w:r>
          </w:p>
        </w:tc>
        <w:tc>
          <w:tcPr>
            <w:tcW w:type="dxa" w:w="3810"/>
            <w:vAlign w:val="top"/>
          </w:tcPr>
          <w:p>
            <w:pPr>
              <w:spacing w:before="20" w:after="20" w:line="252" w:lineRule="auto"/>
            </w:pPr>
            <w:r>
              <w:rPr>
                <w:b w:val="0"/>
                <w:i w:val="0"/>
                <w:sz w:val="19"/>
              </w:rPr>
              <w:t>Se documenta el riesgo de variables omitidas y se orientan estas líneas</w:t>
            </w:r>
          </w:p>
        </w:tc>
      </w:tr>
      <w:tr>
        <w:trPr>
          <w:cantSplit w:val="true"/>
        </w:trPr>
        <w:tc>
          <w:tcPr>
            <w:tcW w:type="dxa" w:w="2476"/>
            <w:shd w:val="clear" w:color="auto" w:fill="F6F9FC"/>
            <w:vAlign w:val="top"/>
          </w:tcPr>
          <w:p>
            <w:pPr>
              <w:spacing w:before="20" w:after="20" w:line="252" w:lineRule="auto"/>
            </w:pPr>
            <w:r>
              <w:rPr>
                <w:b w:val="0"/>
                <w:i w:val="0"/>
                <w:sz w:val="19"/>
              </w:rPr>
              <w:t>Agregación territorial</w:t>
            </w:r>
          </w:p>
        </w:tc>
        <w:tc>
          <w:tcPr>
            <w:tcW w:type="dxa" w:w="3238"/>
            <w:shd w:val="clear" w:color="auto" w:fill="F6F9FC"/>
            <w:vAlign w:val="top"/>
          </w:tcPr>
          <w:p>
            <w:pPr>
              <w:spacing w:before="20" w:after="20" w:line="252" w:lineRule="auto"/>
            </w:pPr>
            <w:r>
              <w:rPr>
                <w:b w:val="0"/>
                <w:i w:val="0"/>
                <w:sz w:val="19"/>
              </w:rPr>
              <w:t>El promedio nacional oculta diferencias regionales importantes</w:t>
            </w:r>
          </w:p>
        </w:tc>
        <w:tc>
          <w:tcPr>
            <w:tcW w:type="dxa" w:w="3810"/>
            <w:shd w:val="clear" w:color="auto" w:fill="F6F9FC"/>
            <w:vAlign w:val="top"/>
          </w:tcPr>
          <w:p>
            <w:pPr>
              <w:spacing w:before="20" w:after="20" w:line="252" w:lineRule="auto"/>
            </w:pPr>
            <w:r>
              <w:rPr>
                <w:b w:val="0"/>
                <w:i w:val="0"/>
                <w:sz w:val="19"/>
              </w:rPr>
              <w:t>Se propone la extensión provincial como anexo y como línea de trabajo futuro</w:t>
            </w:r>
          </w:p>
        </w:tc>
      </w:tr>
    </w:tbl>
    <w:p>
      <w:pPr>
        <w:spacing w:after="80"/>
      </w:pPr>
    </w:p>
    <w:p>
      <w:pPr>
        <w:pStyle w:val="Heading2"/>
      </w:pPr>
      <w:r>
        <w:t>13.3 Riesgos de interpretación</w:t>
      </w:r>
    </w:p>
    <w:p>
      <w:pPr>
        <w:pStyle w:val="ListBullet"/>
        <w:spacing w:after="40"/>
        <w:ind w:left="397"/>
      </w:pPr>
      <w:r>
        <w:rPr>
          <w:b w:val="0"/>
          <w:i w:val="0"/>
        </w:rPr>
        <w:t>Confundir una correlación alta en niveles con una relación económica real entre economía y clima.</w:t>
      </w:r>
    </w:p>
    <w:p>
      <w:pPr>
        <w:pStyle w:val="ListBullet"/>
        <w:spacing w:after="40"/>
        <w:ind w:left="397"/>
      </w:pPr>
      <w:r>
        <w:rPr>
          <w:b w:val="0"/>
          <w:i w:val="0"/>
        </w:rPr>
        <w:t>Presentar como causal un modelo predictivo que solo describe asociaciones.</w:t>
      </w:r>
    </w:p>
    <w:p>
      <w:pPr>
        <w:pStyle w:val="ListBullet"/>
        <w:spacing w:after="40"/>
        <w:ind w:left="397"/>
      </w:pPr>
      <w:r>
        <w:rPr>
          <w:b w:val="0"/>
          <w:i w:val="0"/>
        </w:rPr>
        <w:t>Leer como evidencia la ausencia de relación: no encontrar efecto con este conjunto de variables y este tamaño muestral no equivale a demostrar que no existe.</w:t>
      </w:r>
    </w:p>
    <w:p>
      <w:pPr>
        <w:pStyle w:val="ListBullet"/>
        <w:spacing w:after="40"/>
        <w:ind w:left="397"/>
      </w:pPr>
      <w:r>
        <w:rPr>
          <w:b w:val="0"/>
          <w:i w:val="0"/>
        </w:rPr>
        <w:t>Sobreinterpretar una única serie: las conclusiones se limitan a Argentina y al período analizado.</w:t>
      </w:r>
    </w:p>
    <w:p>
      <w:pPr>
        <w:pStyle w:val="Heading1"/>
        <w:pBdr>
          <w:bottom w:val="single" w:sz="6" w:space="6" w:color="B9C7D6"/>
        </w:pBdr>
      </w:pPr>
      <w:r>
        <w:t>14. Cronograma del proyecto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2286"/>
            <w:shd w:val="clear" w:color="auto" w:fill="1E3A5F"/>
            <w:vAlign w:val="center"/>
          </w:tcPr>
          <w:p>
            <w:pPr>
              <w:spacing w:before="40" w:after="40"/>
            </w:pPr>
            <w:r>
              <w:rPr>
                <w:b/>
                <w:i w:val="0"/>
                <w:color w:val="FFFFFF"/>
                <w:sz w:val="19"/>
              </w:rPr>
              <w:t>Fase (CRISP-DM)</w:t>
            </w:r>
          </w:p>
        </w:tc>
        <w:tc>
          <w:tcPr>
            <w:tcW w:type="dxa" w:w="1143"/>
            <w:shd w:val="clear" w:color="auto" w:fill="1E3A5F"/>
            <w:vAlign w:val="center"/>
          </w:tcPr>
          <w:p>
            <w:pPr>
              <w:spacing w:before="40" w:after="40"/>
            </w:pPr>
            <w:r>
              <w:rPr>
                <w:b/>
                <w:i w:val="0"/>
                <w:color w:val="FFFFFF"/>
                <w:sz w:val="19"/>
              </w:rPr>
              <w:t>Semanas</w:t>
            </w:r>
          </w:p>
        </w:tc>
        <w:tc>
          <w:tcPr>
            <w:tcW w:type="dxa" w:w="1905"/>
            <w:shd w:val="clear" w:color="auto" w:fill="1E3A5F"/>
            <w:vAlign w:val="center"/>
          </w:tcPr>
          <w:p>
            <w:pPr>
              <w:spacing w:before="40" w:after="40"/>
            </w:pPr>
            <w:r>
              <w:rPr>
                <w:b/>
                <w:i w:val="0"/>
                <w:color w:val="FFFFFF"/>
                <w:sz w:val="19"/>
              </w:rPr>
              <w:t>Fechas</w:t>
            </w:r>
          </w:p>
        </w:tc>
        <w:tc>
          <w:tcPr>
            <w:tcW w:type="dxa" w:w="4191"/>
            <w:shd w:val="clear" w:color="auto" w:fill="1E3A5F"/>
            <w:vAlign w:val="center"/>
          </w:tcPr>
          <w:p>
            <w:pPr>
              <w:spacing w:before="40" w:after="40"/>
            </w:pPr>
            <w:r>
              <w:rPr>
                <w:b/>
                <w:i w:val="0"/>
                <w:color w:val="FFFFFF"/>
                <w:sz w:val="19"/>
              </w:rPr>
              <w:t>Tareas principales</w:t>
            </w:r>
          </w:p>
        </w:tc>
      </w:tr>
      <w:tr>
        <w:trPr>
          <w:cantSplit w:val="true"/>
        </w:trPr>
        <w:tc>
          <w:tcPr>
            <w:tcW w:type="dxa" w:w="2286"/>
            <w:vAlign w:val="top"/>
          </w:tcPr>
          <w:p>
            <w:pPr>
              <w:spacing w:before="20" w:after="20" w:line="252" w:lineRule="auto"/>
            </w:pPr>
            <w:r>
              <w:rPr>
                <w:b w:val="0"/>
                <w:i w:val="0"/>
                <w:sz w:val="19"/>
              </w:rPr>
              <w:t>Business Understanding</w:t>
            </w:r>
          </w:p>
        </w:tc>
        <w:tc>
          <w:tcPr>
            <w:tcW w:type="dxa" w:w="1143"/>
            <w:vAlign w:val="top"/>
          </w:tcPr>
          <w:p>
            <w:pPr>
              <w:spacing w:before="20" w:after="20" w:line="252" w:lineRule="auto"/>
            </w:pPr>
            <w:r>
              <w:rPr>
                <w:b w:val="0"/>
                <w:i w:val="0"/>
                <w:sz w:val="19"/>
              </w:rPr>
              <w:t>1</w:t>
            </w:r>
          </w:p>
        </w:tc>
        <w:tc>
          <w:tcPr>
            <w:tcW w:type="dxa" w:w="1905"/>
            <w:vAlign w:val="top"/>
          </w:tcPr>
          <w:p>
            <w:pPr>
              <w:spacing w:before="20" w:after="20" w:line="252" w:lineRule="auto"/>
            </w:pPr>
            <w:r>
              <w:rPr>
                <w:b w:val="0"/>
                <w:i w:val="0"/>
                <w:sz w:val="19"/>
              </w:rPr>
              <w:t>14–20/09/2026</w:t>
            </w:r>
          </w:p>
        </w:tc>
        <w:tc>
          <w:tcPr>
            <w:tcW w:type="dxa" w:w="4191"/>
            <w:vAlign w:val="top"/>
          </w:tcPr>
          <w:p>
            <w:pPr>
              <w:spacing w:before="20" w:after="20" w:line="252" w:lineRule="auto"/>
            </w:pPr>
            <w:r>
              <w:rPr>
                <w:b w:val="0"/>
                <w:i w:val="0"/>
                <w:sz w:val="19"/>
              </w:rPr>
              <w:t>Definición del problema, objetivos e hipótesis; plan de proyecto</w:t>
            </w:r>
          </w:p>
        </w:tc>
      </w:tr>
      <w:tr>
        <w:trPr>
          <w:cantSplit w:val="true"/>
        </w:trPr>
        <w:tc>
          <w:tcPr>
            <w:tcW w:type="dxa" w:w="2286"/>
            <w:shd w:val="clear" w:color="auto" w:fill="F6F9FC"/>
            <w:vAlign w:val="top"/>
          </w:tcPr>
          <w:p>
            <w:pPr>
              <w:spacing w:before="20" w:after="20" w:line="252" w:lineRule="auto"/>
            </w:pPr>
            <w:r>
              <w:rPr>
                <w:b w:val="0"/>
                <w:i w:val="0"/>
                <w:sz w:val="19"/>
              </w:rPr>
              <w:t>Data Understanding</w:t>
            </w:r>
          </w:p>
        </w:tc>
        <w:tc>
          <w:tcPr>
            <w:tcW w:type="dxa" w:w="1143"/>
            <w:shd w:val="clear" w:color="auto" w:fill="F6F9FC"/>
            <w:vAlign w:val="top"/>
          </w:tcPr>
          <w:p>
            <w:pPr>
              <w:spacing w:before="20" w:after="20" w:line="252" w:lineRule="auto"/>
            </w:pPr>
            <w:r>
              <w:rPr>
                <w:b w:val="0"/>
                <w:i w:val="0"/>
                <w:sz w:val="19"/>
              </w:rPr>
              <w:t>2 a 4</w:t>
            </w:r>
          </w:p>
        </w:tc>
        <w:tc>
          <w:tcPr>
            <w:tcW w:type="dxa" w:w="1905"/>
            <w:shd w:val="clear" w:color="auto" w:fill="F6F9FC"/>
            <w:vAlign w:val="top"/>
          </w:tcPr>
          <w:p>
            <w:pPr>
              <w:spacing w:before="20" w:after="20" w:line="252" w:lineRule="auto"/>
            </w:pPr>
            <w:r>
              <w:rPr>
                <w:b w:val="0"/>
                <w:i w:val="0"/>
                <w:sz w:val="19"/>
              </w:rPr>
              <w:t>21/09–11/10/2026</w:t>
            </w:r>
          </w:p>
        </w:tc>
        <w:tc>
          <w:tcPr>
            <w:tcW w:type="dxa" w:w="4191"/>
            <w:shd w:val="clear" w:color="auto" w:fill="F6F9FC"/>
            <w:vAlign w:val="top"/>
          </w:tcPr>
          <w:p>
            <w:pPr>
              <w:spacing w:before="20" w:after="20" w:line="252" w:lineRule="auto"/>
            </w:pPr>
            <w:r>
              <w:rPr>
                <w:b w:val="0"/>
                <w:i w:val="0"/>
                <w:sz w:val="19"/>
              </w:rPr>
              <w:t>Selección y descarga de fuentes; perfilado; exploración; reporte de calidad</w:t>
            </w:r>
          </w:p>
        </w:tc>
      </w:tr>
      <w:tr>
        <w:trPr>
          <w:cantSplit w:val="true"/>
        </w:trPr>
        <w:tc>
          <w:tcPr>
            <w:tcW w:type="dxa" w:w="2286"/>
            <w:vAlign w:val="top"/>
          </w:tcPr>
          <w:p>
            <w:pPr>
              <w:spacing w:before="20" w:after="20" w:line="252" w:lineRule="auto"/>
            </w:pPr>
            <w:r>
              <w:rPr>
                <w:b w:val="0"/>
                <w:i w:val="0"/>
                <w:sz w:val="19"/>
              </w:rPr>
              <w:t>Data Preparation</w:t>
            </w:r>
          </w:p>
        </w:tc>
        <w:tc>
          <w:tcPr>
            <w:tcW w:type="dxa" w:w="1143"/>
            <w:vAlign w:val="top"/>
          </w:tcPr>
          <w:p>
            <w:pPr>
              <w:spacing w:before="20" w:after="20" w:line="252" w:lineRule="auto"/>
            </w:pPr>
            <w:r>
              <w:rPr>
                <w:b w:val="0"/>
                <w:i w:val="0"/>
                <w:sz w:val="19"/>
              </w:rPr>
              <w:t>5 y 6</w:t>
            </w:r>
          </w:p>
        </w:tc>
        <w:tc>
          <w:tcPr>
            <w:tcW w:type="dxa" w:w="1905"/>
            <w:vAlign w:val="top"/>
          </w:tcPr>
          <w:p>
            <w:pPr>
              <w:spacing w:before="20" w:after="20" w:line="252" w:lineRule="auto"/>
            </w:pPr>
            <w:r>
              <w:rPr>
                <w:b w:val="0"/>
                <w:i w:val="0"/>
                <w:sz w:val="19"/>
              </w:rPr>
              <w:t>12–25/10/2026</w:t>
            </w:r>
          </w:p>
        </w:tc>
        <w:tc>
          <w:tcPr>
            <w:tcW w:type="dxa" w:w="4191"/>
            <w:vAlign w:val="top"/>
          </w:tcPr>
          <w:p>
            <w:pPr>
              <w:spacing w:before="20" w:after="20" w:line="252" w:lineRule="auto"/>
            </w:pPr>
            <w:r>
              <w:rPr>
                <w:b w:val="0"/>
                <w:i w:val="0"/>
                <w:sz w:val="19"/>
              </w:rPr>
              <w:t>Selección y limpieza; control de tendencia; integración; partición temporal</w:t>
            </w:r>
          </w:p>
        </w:tc>
      </w:tr>
      <w:tr>
        <w:trPr>
          <w:cantSplit w:val="true"/>
        </w:trPr>
        <w:tc>
          <w:tcPr>
            <w:tcW w:type="dxa" w:w="2286"/>
            <w:shd w:val="clear" w:color="auto" w:fill="F6F9FC"/>
            <w:vAlign w:val="top"/>
          </w:tcPr>
          <w:p>
            <w:pPr>
              <w:spacing w:before="20" w:after="20" w:line="252" w:lineRule="auto"/>
            </w:pPr>
            <w:r>
              <w:rPr>
                <w:b w:val="0"/>
                <w:i w:val="0"/>
                <w:sz w:val="19"/>
              </w:rPr>
              <w:t>Modeling</w:t>
            </w:r>
          </w:p>
        </w:tc>
        <w:tc>
          <w:tcPr>
            <w:tcW w:type="dxa" w:w="1143"/>
            <w:shd w:val="clear" w:color="auto" w:fill="F6F9FC"/>
            <w:vAlign w:val="top"/>
          </w:tcPr>
          <w:p>
            <w:pPr>
              <w:spacing w:before="20" w:after="20" w:line="252" w:lineRule="auto"/>
            </w:pPr>
            <w:r>
              <w:rPr>
                <w:b w:val="0"/>
                <w:i w:val="0"/>
                <w:sz w:val="19"/>
              </w:rPr>
              <w:t>7</w:t>
            </w:r>
          </w:p>
        </w:tc>
        <w:tc>
          <w:tcPr>
            <w:tcW w:type="dxa" w:w="1905"/>
            <w:shd w:val="clear" w:color="auto" w:fill="F6F9FC"/>
            <w:vAlign w:val="top"/>
          </w:tcPr>
          <w:p>
            <w:pPr>
              <w:spacing w:before="20" w:after="20" w:line="252" w:lineRule="auto"/>
            </w:pPr>
            <w:r>
              <w:rPr>
                <w:b w:val="0"/>
                <w:i w:val="0"/>
                <w:sz w:val="19"/>
              </w:rPr>
              <w:t>26/10–01/11/2026</w:t>
            </w:r>
          </w:p>
        </w:tc>
        <w:tc>
          <w:tcPr>
            <w:tcW w:type="dxa" w:w="4191"/>
            <w:shd w:val="clear" w:color="auto" w:fill="F6F9FC"/>
            <w:vAlign w:val="top"/>
          </w:tcPr>
          <w:p>
            <w:pPr>
              <w:spacing w:before="20" w:after="20" w:line="252" w:lineRule="auto"/>
            </w:pPr>
            <w:r>
              <w:rPr>
                <w:b w:val="0"/>
                <w:i w:val="0"/>
                <w:sz w:val="19"/>
              </w:rPr>
              <w:t>Objetivos 1 a 4; ajuste de los modelos del objetivo 5</w:t>
            </w:r>
          </w:p>
        </w:tc>
      </w:tr>
      <w:tr>
        <w:trPr>
          <w:cantSplit w:val="true"/>
        </w:trPr>
        <w:tc>
          <w:tcPr>
            <w:tcW w:type="dxa" w:w="2286"/>
            <w:vAlign w:val="top"/>
          </w:tcPr>
          <w:p>
            <w:pPr>
              <w:spacing w:before="20" w:after="20" w:line="252" w:lineRule="auto"/>
            </w:pPr>
            <w:r>
              <w:rPr>
                <w:b w:val="0"/>
                <w:i w:val="0"/>
                <w:sz w:val="19"/>
              </w:rPr>
              <w:t>Evaluation</w:t>
            </w:r>
          </w:p>
        </w:tc>
        <w:tc>
          <w:tcPr>
            <w:tcW w:type="dxa" w:w="1143"/>
            <w:vAlign w:val="top"/>
          </w:tcPr>
          <w:p>
            <w:pPr>
              <w:spacing w:before="20" w:after="20" w:line="252" w:lineRule="auto"/>
            </w:pPr>
            <w:r>
              <w:rPr>
                <w:b w:val="0"/>
                <w:i w:val="0"/>
                <w:sz w:val="19"/>
              </w:rPr>
              <w:t>8</w:t>
            </w:r>
          </w:p>
        </w:tc>
        <w:tc>
          <w:tcPr>
            <w:tcW w:type="dxa" w:w="1905"/>
            <w:vAlign w:val="top"/>
          </w:tcPr>
          <w:p>
            <w:pPr>
              <w:spacing w:before="20" w:after="20" w:line="252" w:lineRule="auto"/>
            </w:pPr>
            <w:r>
              <w:rPr>
                <w:b w:val="0"/>
                <w:i w:val="0"/>
                <w:sz w:val="19"/>
              </w:rPr>
              <w:t>02–08/11/2026</w:t>
            </w:r>
          </w:p>
        </w:tc>
        <w:tc>
          <w:tcPr>
            <w:tcW w:type="dxa" w:w="4191"/>
            <w:vAlign w:val="top"/>
          </w:tcPr>
          <w:p>
            <w:pPr>
              <w:spacing w:before="20" w:after="20" w:line="252" w:lineRule="auto"/>
            </w:pPr>
            <w:r>
              <w:rPr>
                <w:b w:val="0"/>
                <w:i w:val="0"/>
                <w:sz w:val="19"/>
              </w:rPr>
              <w:t>Objetivo 6; métricas; diagnósticos; análisis de robustez</w:t>
            </w:r>
          </w:p>
        </w:tc>
      </w:tr>
      <w:tr>
        <w:trPr>
          <w:cantSplit w:val="true"/>
        </w:trPr>
        <w:tc>
          <w:tcPr>
            <w:tcW w:type="dxa" w:w="2286"/>
            <w:shd w:val="clear" w:color="auto" w:fill="F6F9FC"/>
            <w:vAlign w:val="top"/>
          </w:tcPr>
          <w:p>
            <w:pPr>
              <w:spacing w:before="20" w:after="20" w:line="252" w:lineRule="auto"/>
            </w:pPr>
            <w:r>
              <w:rPr>
                <w:b w:val="0"/>
                <w:i w:val="0"/>
                <w:sz w:val="19"/>
              </w:rPr>
              <w:t>Deployment</w:t>
            </w:r>
          </w:p>
        </w:tc>
        <w:tc>
          <w:tcPr>
            <w:tcW w:type="dxa" w:w="1143"/>
            <w:shd w:val="clear" w:color="auto" w:fill="F6F9FC"/>
            <w:vAlign w:val="top"/>
          </w:tcPr>
          <w:p>
            <w:pPr>
              <w:spacing w:before="20" w:after="20" w:line="252" w:lineRule="auto"/>
            </w:pPr>
            <w:r>
              <w:rPr>
                <w:b w:val="0"/>
                <w:i w:val="0"/>
                <w:sz w:val="19"/>
              </w:rPr>
              <w:t>9 a 11</w:t>
            </w:r>
          </w:p>
        </w:tc>
        <w:tc>
          <w:tcPr>
            <w:tcW w:type="dxa" w:w="1905"/>
            <w:shd w:val="clear" w:color="auto" w:fill="F6F9FC"/>
            <w:vAlign w:val="top"/>
          </w:tcPr>
          <w:p>
            <w:pPr>
              <w:spacing w:before="20" w:after="20" w:line="252" w:lineRule="auto"/>
            </w:pPr>
            <w:r>
              <w:rPr>
                <w:b w:val="0"/>
                <w:i w:val="0"/>
                <w:sz w:val="19"/>
              </w:rPr>
              <w:t>09–30/11/2026</w:t>
            </w:r>
          </w:p>
        </w:tc>
        <w:tc>
          <w:tcPr>
            <w:tcW w:type="dxa" w:w="4191"/>
            <w:shd w:val="clear" w:color="auto" w:fill="F6F9FC"/>
            <w:vAlign w:val="top"/>
          </w:tcPr>
          <w:p>
            <w:pPr>
              <w:spacing w:before="20" w:after="20" w:line="252" w:lineRule="auto"/>
            </w:pPr>
            <w:r>
              <w:rPr>
                <w:b w:val="0"/>
                <w:i w:val="0"/>
                <w:sz w:val="19"/>
              </w:rPr>
              <w:t>Interfaz; informe final; presentación oral; entrega</w:t>
            </w:r>
          </w:p>
        </w:tc>
      </w:tr>
    </w:tbl>
    <w:p>
      <w:pPr>
        <w:spacing w:after="80"/>
      </w:pPr>
    </w:p>
    <w:p>
      <w:pPr>
        <w:pStyle w:val="Heading1"/>
        <w:pBdr>
          <w:bottom w:val="single" w:sz="6" w:space="6" w:color="B9C7D6"/>
        </w:pBdr>
      </w:pPr>
      <w:r>
        <w:t>15. Síntesis del enfoque metodológico</w:t>
      </w:r>
    </w:p>
    <w:p>
      <w:r>
        <w:rPr>
          <w:b w:val="0"/>
          <w:i w:val="0"/>
        </w:rPr>
        <w:t>El diseño metodológico de este proyecto se apoya en cuatro decisiones que gobiernan todo el trabajo:</w:t>
      </w:r>
    </w:p>
    <w:p>
      <w:pPr>
        <w:pStyle w:val="ListBullet"/>
        <w:spacing w:after="40"/>
        <w:ind w:left="397"/>
      </w:pPr>
      <w:r>
        <w:rPr>
          <w:b/>
          <w:i w:val="0"/>
        </w:rPr>
        <w:t>Primero, el control de tendencia.</w:t>
      </w:r>
      <w:r>
        <w:rPr>
          <w:b w:val="0"/>
          <w:i w:val="0"/>
        </w:rPr>
        <w:t xml:space="preserve"> Ninguna correlación se reporta sin su versión detrendizada. Esta decisión es la que separa un análisis serio de una lectura ingenua, y es la razón principal por la que el problema elegido resulta formativo.</w:t>
      </w:r>
    </w:p>
    <w:p>
      <w:pPr>
        <w:pStyle w:val="ListBullet"/>
        <w:spacing w:after="40"/>
        <w:ind w:left="397"/>
      </w:pPr>
      <w:r>
        <w:rPr>
          <w:b/>
          <w:i w:val="0"/>
        </w:rPr>
        <w:t>Segundo, la definición del baseline antes del modelado.</w:t>
      </w:r>
      <w:r>
        <w:rPr>
          <w:b w:val="0"/>
          <w:i w:val="0"/>
        </w:rPr>
        <w:t xml:space="preserve"> Fijar la regla de comparación antes de entrenar es lo que permite que un resultado negativo sea un resultado y no una decepción.</w:t>
      </w:r>
    </w:p>
    <w:p>
      <w:pPr>
        <w:pStyle w:val="ListBullet"/>
        <w:spacing w:after="40"/>
        <w:ind w:left="397"/>
      </w:pPr>
      <w:r>
        <w:rPr>
          <w:b/>
          <w:i w:val="0"/>
        </w:rPr>
        <w:t>Tercero, la replicación de las decisiones analíticas.</w:t>
      </w:r>
      <w:r>
        <w:rPr>
          <w:b w:val="0"/>
          <w:i w:val="0"/>
        </w:rPr>
        <w:t xml:space="preserve"> Repetir el análisis bajo variantes de fuente, de variable económica y de definición de baseline muestra si la conclusión es un artefacto de una elección concreta.</w:t>
      </w:r>
    </w:p>
    <w:p>
      <w:pPr>
        <w:pStyle w:val="ListBullet"/>
        <w:spacing w:after="40"/>
        <w:ind w:left="397"/>
      </w:pPr>
      <w:r>
        <w:rPr>
          <w:b/>
          <w:i w:val="0"/>
        </w:rPr>
        <w:t>Cuarto, la reproducibilidad.</w:t>
      </w:r>
      <w:r>
        <w:rPr>
          <w:b w:val="0"/>
          <w:i w:val="0"/>
        </w:rPr>
        <w:t xml:space="preserve"> Todo número del informe proviene de código versionado, lo que garantiza que los resultados puedan auditarse y repetirse.</w:t>
      </w:r>
    </w:p>
    <w:p>
      <w:r>
        <w:rPr>
          <w:b w:val="0"/>
          <w:i w:val="0"/>
        </w:rPr>
        <w:t>Con este diseño, el proyecto no busca una respuesta predeterminada sino una respuesta sostenida: o bien la relación existe y puede quantificarse, o bien la asociación aparente se desvanece cuando se controla la tendencia, y en ese caso el aporte del trabajo consiste precisamente en demostrarlo con rigor.</w:t>
      </w:r>
    </w:p>
    <w:p>
      <w:pPr>
        <w:pStyle w:val="Heading1"/>
        <w:pBdr>
          <w:bottom w:val="single" w:sz="6" w:space="6" w:color="B9C7D6"/>
        </w:pBdr>
      </w:pPr>
      <w:r>
        <w:t>16. Sugerencias para continuar con el análisis en el futuro</w:t>
      </w:r>
    </w:p>
    <w:p>
      <w:r>
        <w:rPr>
          <w:b w:val="0"/>
          <w:i w:val="0"/>
        </w:rPr>
        <w:t>El trabajo deja abiertas varias líneas que exceden su alcance y que meritarian una continuación:</w:t>
      </w:r>
    </w:p>
    <w:p>
      <w:pPr>
        <w:pStyle w:val="ListBullet"/>
        <w:spacing w:after="40"/>
        <w:ind w:left="397"/>
      </w:pPr>
      <w:r>
        <w:rPr>
          <w:b/>
          <w:i w:val="0"/>
        </w:rPr>
        <w:t>Modelos de series de tiempo.</w:t>
      </w:r>
      <w:r>
        <w:rPr>
          <w:b w:val="0"/>
          <w:i w:val="0"/>
        </w:rPr>
        <w:t xml:space="preserve"> Aplicar ARIMA, Prophet o modelos con componente de tendencia, que manejen de forma explícita la estructura temporal de la anomalía de temperatura.</w:t>
      </w:r>
    </w:p>
    <w:p>
      <w:pPr>
        <w:pStyle w:val="ListBullet"/>
        <w:spacing w:after="40"/>
        <w:ind w:left="397"/>
      </w:pPr>
      <w:r>
        <w:rPr>
          <w:b/>
          <w:i w:val="0"/>
        </w:rPr>
        <w:t>Variables omitidas.</w:t>
      </w:r>
      <w:r>
        <w:rPr>
          <w:b w:val="0"/>
          <w:i w:val="0"/>
        </w:rPr>
        <w:t xml:space="preserve"> Incorporar consumo de energía primaria, estructura de la matriz eléctrica, composición industrial, cobertura forestal y producto bruto sectorial, que son las candidatas más relevantes para explicar la variabilidad no capturada.</w:t>
      </w:r>
    </w:p>
    <w:p>
      <w:pPr>
        <w:pStyle w:val="ListBullet"/>
        <w:spacing w:after="40"/>
        <w:ind w:left="397"/>
      </w:pPr>
      <w:r>
        <w:rPr>
          <w:b/>
          <w:i w:val="0"/>
        </w:rPr>
        <w:t>Rezagos temporales.</w:t>
      </w:r>
      <w:r>
        <w:rPr>
          <w:b w:val="0"/>
          <w:i w:val="0"/>
        </w:rPr>
        <w:t xml:space="preserve"> Evaluar relaciones entre la temperatura del año y las emisiones de años anteriores, dado que el efecto de las emisiones opera con décadas de retraso.</w:t>
      </w:r>
    </w:p>
    <w:p>
      <w:pPr>
        <w:pStyle w:val="ListBullet"/>
        <w:spacing w:after="40"/>
        <w:ind w:left="397"/>
      </w:pPr>
      <w:r>
        <w:rPr>
          <w:b/>
          <w:i w:val="0"/>
        </w:rPr>
        <w:t>Serie del inventario oficial ampliada.</w:t>
      </w:r>
      <w:r>
        <w:rPr>
          <w:b w:val="0"/>
          <w:i w:val="0"/>
        </w:rPr>
        <w:t xml:space="preserve"> Reintegrarla cuando la Secretaría de Ambiente extienda su cobertura más allá del período actual.</w:t>
      </w:r>
    </w:p>
    <w:p>
      <w:pPr>
        <w:pStyle w:val="ListBullet"/>
        <w:spacing w:after="40"/>
        <w:ind w:left="397"/>
      </w:pPr>
      <w:r>
        <w:rPr>
          <w:b/>
          <w:i w:val="0"/>
        </w:rPr>
        <w:t>Análisis provincial completo.</w:t>
      </w:r>
      <w:r>
        <w:rPr>
          <w:b w:val="0"/>
          <w:i w:val="0"/>
        </w:rPr>
        <w:t xml:space="preserve"> Cruzar el clima de cada jurisdicción con su producto bruto geográfico, una vez resuelta la heterogeneidad de las series provinciales.</w:t>
      </w:r>
    </w:p>
    <w:p>
      <w:pPr>
        <w:pStyle w:val="ListBullet"/>
        <w:spacing w:after="40"/>
        <w:ind w:left="397"/>
      </w:pPr>
      <w:r>
        <w:rPr>
          <w:b/>
          <w:i w:val="0"/>
        </w:rPr>
        <w:t>Modelos no lineales generalizados.</w:t>
      </w:r>
      <w:r>
        <w:rPr>
          <w:b w:val="0"/>
          <w:i w:val="0"/>
        </w:rPr>
        <w:t xml:space="preserve"> Explorar relaciones aditivas más flexibles que las de la regresión lineal sin recurrir a la opacidad del ensemble.</w:t>
      </w:r>
    </w:p>
    <w:p>
      <w:pPr>
        <w:pStyle w:val="ListBullet"/>
        <w:spacing w:after="40"/>
        <w:ind w:left="397"/>
      </w:pPr>
      <w:r>
        <w:rPr>
          <w:b/>
          <w:i w:val="0"/>
        </w:rPr>
        <w:t>Análisis de sensibilidad a la base de referencia.</w:t>
      </w:r>
      <w:r>
        <w:rPr>
          <w:b w:val="0"/>
          <w:i w:val="0"/>
        </w:rPr>
        <w:t xml:space="preserve"> Repetir el análisis con otras bases de anomalías térmicas para verificar que las conclusiones no dependen del período de referencia elegido.</w:t>
      </w:r>
    </w:p>
    <w:p>
      <w:pPr>
        <w:pStyle w:val="Heading1"/>
        <w:pBdr>
          <w:bottom w:val="single" w:sz="6" w:space="6" w:color="B9C7D6"/>
        </w:pBdr>
      </w:pPr>
      <w:r>
        <w:t>17. Bibliografía y fuentes previstas</w:t>
      </w:r>
    </w:p>
    <w:p>
      <w:pPr>
        <w:pStyle w:val="Heading2"/>
      </w:pPr>
      <w:r>
        <w:t>17.1 Fuentes de datos</w:t>
      </w:r>
    </w:p>
    <w:p>
      <w:pPr>
        <w:pStyle w:val="ListBullet"/>
        <w:spacing w:after="40"/>
        <w:ind w:left="397"/>
      </w:pPr>
      <w:r>
        <w:rPr>
          <w:b/>
          <w:i w:val="0"/>
        </w:rPr>
        <w:t>Temperatura y precipitación:</w:t>
      </w:r>
      <w:r>
        <w:rPr>
          <w:b w:val="0"/>
          <w:i w:val="0"/>
        </w:rPr>
        <w:t xml:space="preserve"> Centro de Información Ambiental (CIAM), Secretaría de Ambiente y Desarrollo Sostenible de la Nación, en base a datos del Servicio Meteorológico Nacional. https://ciam.ambiente.gob.ar</w:t>
      </w:r>
    </w:p>
    <w:p>
      <w:pPr>
        <w:pStyle w:val="ListBullet"/>
        <w:spacing w:after="40"/>
        <w:ind w:left="397"/>
      </w:pPr>
      <w:r>
        <w:rPr>
          <w:b/>
          <w:i w:val="0"/>
        </w:rPr>
        <w:t>Emisiones de gases de efecto invernadero:</w:t>
      </w:r>
      <w:r>
        <w:rPr>
          <w:b w:val="0"/>
          <w:i w:val="0"/>
        </w:rPr>
        <w:t xml:space="preserve"> Global Carbon Project, procesado por Our World in Data, con las series de emisiones totales de GEI y de emisiones de CO₂ de origen fósil. https://ourworldindata.org/co2-emissions</w:t>
      </w:r>
    </w:p>
    <w:p>
      <w:pPr>
        <w:pStyle w:val="ListBullet"/>
        <w:spacing w:after="40"/>
        <w:ind w:left="397"/>
      </w:pPr>
      <w:r>
        <w:rPr>
          <w:b/>
          <w:i w:val="0"/>
        </w:rPr>
        <w:t>Inventario oficial de emisiones:</w:t>
      </w:r>
      <w:r>
        <w:rPr>
          <w:b w:val="0"/>
          <w:i w:val="0"/>
        </w:rPr>
        <w:t xml:space="preserve"> Secretaría de Ambiente y Desarrollo Sostenible de la Nación, con cobertura acotada a los años más recientes.</w:t>
      </w:r>
    </w:p>
    <w:p>
      <w:pPr>
        <w:pStyle w:val="ListBullet"/>
        <w:spacing w:after="40"/>
        <w:ind w:left="397"/>
      </w:pPr>
      <w:r>
        <w:rPr>
          <w:b/>
          <w:i w:val="0"/>
        </w:rPr>
        <w:t>Producto bruto interno:</w:t>
      </w:r>
      <w:r>
        <w:rPr>
          <w:b w:val="0"/>
          <w:i w:val="0"/>
        </w:rPr>
        <w:t xml:space="preserve"> Banco Mundial, indicadores de crecimiento anual y de PBI per cápita para Argentina. https://data.worldbank.org</w:t>
      </w:r>
    </w:p>
    <w:p>
      <w:pPr>
        <w:pStyle w:val="ListBullet"/>
        <w:spacing w:after="40"/>
        <w:ind w:left="397"/>
      </w:pPr>
      <w:r>
        <w:rPr>
          <w:b/>
          <w:i w:val="0"/>
        </w:rPr>
        <w:t>Clima provincial:</w:t>
      </w:r>
      <w:r>
        <w:rPr>
          <w:b w:val="0"/>
          <w:i w:val="0"/>
        </w:rPr>
        <w:t xml:space="preserve"> NASA Langley Research Center, proyecto POWER. https://power.larc.nasa.gov</w:t>
      </w:r>
    </w:p>
    <w:p>
      <w:pPr>
        <w:pStyle w:val="ListBullet"/>
        <w:spacing w:after="40"/>
        <w:ind w:left="397"/>
      </w:pPr>
      <w:r>
        <w:rPr>
          <w:b/>
          <w:i w:val="0"/>
        </w:rPr>
        <w:t>Cartografía provincial:</w:t>
      </w:r>
      <w:r>
        <w:rPr>
          <w:b w:val="0"/>
          <w:i w:val="0"/>
        </w:rPr>
        <w:t xml:space="preserve"> Instituto Geográfico Nacional.</w:t>
      </w:r>
    </w:p>
    <w:p>
      <w:pPr>
        <w:pStyle w:val="Heading2"/>
      </w:pPr>
      <w:r>
        <w:t>17.2 Bibliografía académica</w:t>
      </w:r>
    </w:p>
    <w:p>
      <w:pPr>
        <w:pStyle w:val="ListBullet"/>
        <w:spacing w:after="40"/>
        <w:ind w:left="397"/>
      </w:pPr>
      <w:r>
        <w:rPr>
          <w:b w:val="0"/>
          <w:i w:val="0"/>
        </w:rPr>
        <w:t>Chapman, P., Clinton, J., Kerber, R., Khabaza, T., Reinartz, T., Shearer, C. y Wirth, R. (2000). *CRISP-DM 1.0: Step-by-step data mining guide*. SPSS Inc.</w:t>
      </w:r>
    </w:p>
    <w:p>
      <w:pPr>
        <w:pStyle w:val="ListBullet"/>
        <w:spacing w:after="40"/>
        <w:ind w:left="397"/>
      </w:pPr>
      <w:r>
        <w:rPr>
          <w:b w:val="0"/>
          <w:i w:val="0"/>
        </w:rPr>
        <w:t>Granger, C. W. J. y Newbold, P. (1974). Spurious regressions in econometrics. *Journal of Econometrics*, 2(2), 111–120.</w:t>
      </w:r>
    </w:p>
    <w:p>
      <w:pPr>
        <w:pStyle w:val="ListBullet"/>
        <w:spacing w:after="40"/>
        <w:ind w:left="397"/>
      </w:pPr>
      <w:r>
        <w:rPr>
          <w:b w:val="0"/>
          <w:i w:val="0"/>
        </w:rPr>
        <w:t>Hamilton, J. D. (1994). *Time Series Analysis*. Princeton University Press.</w:t>
      </w:r>
    </w:p>
    <w:p>
      <w:pPr>
        <w:pStyle w:val="ListBullet"/>
        <w:spacing w:after="40"/>
        <w:ind w:left="397"/>
      </w:pPr>
      <w:r>
        <w:rPr>
          <w:b w:val="0"/>
          <w:i w:val="0"/>
        </w:rPr>
        <w:t>Wooldridge, J. M. (2015). *Introductory Econometrics* (7.ª edición). Cengage Learning.</w:t>
      </w:r>
    </w:p>
    <w:p>
      <w:pPr>
        <w:pStyle w:val="ListBullet"/>
        <w:spacing w:after="40"/>
        <w:ind w:left="397"/>
      </w:pPr>
      <w:r>
        <w:rPr>
          <w:b w:val="0"/>
          <w:i w:val="0"/>
        </w:rPr>
        <w:t>Breiman, L. (2001). Random forests. *Machine Learning*, 45(1), 5–32.</w:t>
      </w:r>
    </w:p>
    <w:p>
      <w:pPr>
        <w:pStyle w:val="ListBullet"/>
        <w:spacing w:after="40"/>
        <w:ind w:left="397"/>
      </w:pPr>
      <w:r>
        <w:rPr>
          <w:b w:val="0"/>
          <w:i w:val="0"/>
        </w:rPr>
        <w:t>Pedregosa, F. et al. (2011). Scikit-learn: Machine learning in Python. *Journal of Machine Learning Research*, 12, 2825–2830.</w:t>
      </w:r>
    </w:p>
    <w:p>
      <w:pPr>
        <w:pStyle w:val="ListBullet"/>
        <w:spacing w:after="40"/>
        <w:ind w:left="397"/>
      </w:pPr>
      <w:r>
        <w:rPr>
          <w:b w:val="0"/>
          <w:i w:val="0"/>
        </w:rPr>
        <w:t>Hunter, J. D. (2007). Matplotlib: A 2D graphics environment. *Computing in Science &amp; Engineering*, 9(3), 90–95.</w:t>
      </w:r>
    </w:p>
    <w:p>
      <w:pPr>
        <w:spacing w:before="120" w:after="120"/>
        <w:jc w:val="center"/>
      </w:pPr>
      <w:r>
        <w:rPr>
          <w:b w:val="0"/>
          <w:i w:val="0"/>
          <w:color w:val="B9C7D6"/>
          <w:sz w:val="18"/>
        </w:rPr>
        <w:t>——————————————————————————————</w:t>
      </w:r>
    </w:p>
    <w:p>
      <w:pPr>
        <w:jc w:val="center"/>
      </w:pPr>
      <w:r>
        <w:rPr>
          <w:b w:val="0"/>
          <w:i/>
          <w:color w:val="505A64"/>
        </w:rPr>
        <w:t>— Fin del Trabajo Práctico Integrador —</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B9C7D6"/>
      </w:pBdr>
      <w:jc w:val="center"/>
    </w:pPr>
    <w:r/>
    <w:r>
      <w:rPr>
        <w:color w:val="505A64"/>
        <w:sz w:val="16"/>
      </w:rPr>
      <w:t xml:space="preserve">Trabajo Práctico Integrador — Cambio climático y PBI en Argentina   ·   </w:t>
    </w:r>
    <w:r>
      <w:rPr>
        <w:color w:val="505A64"/>
        <w:sz w:val="16"/>
      </w:rPr>
      <w:fldChar w:fldCharType="begin"/>
      <w:instrText xml:space="preserve">PAGE</w:instrText>
      <w:fldChar w:fldCharType="end"/>
    </w:r>
    <w:r>
      <w:rPr>
        <w:color w:val="505A64"/>
        <w:sz w:val="16"/>
      </w:rPr>
      <w:t xml:space="preserve"> / </w:t>
    </w:r>
    <w:r>
      <w:rPr>
        <w:color w:val="505A64"/>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s="Calibri"/>
      <w:color w:val="1A1A1A"/>
      <w:sz w:val="21"/>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cs="Calibri"/>
      <w:b/>
      <w:bCs/>
      <w:i w:val="0"/>
      <w:color w:val="1E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cs="Calibri"/>
      <w:b/>
      <w:bCs/>
      <w:i w:val="0"/>
      <w:color w:val="2E507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b/>
      <w:bCs/>
      <w:i w:val="0"/>
      <w:color w:val="50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s="Calibri"/>
      <w:b/>
      <w:i w:val="0"/>
      <w:color w:val="1E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