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B34D05" w14:textId="77777777" w:rsidR="00A73A4F" w:rsidRPr="00883232" w:rsidRDefault="00000000" w:rsidP="00883232">
      <w:pPr>
        <w:pStyle w:val="Ttulo1"/>
        <w:rPr>
          <w:color w:val="000000" w:themeColor="text1"/>
          <w:lang w:val="es-CO"/>
        </w:rPr>
      </w:pPr>
      <w:r w:rsidRPr="00883232">
        <w:rPr>
          <w:color w:val="000000" w:themeColor="text1"/>
          <w:lang w:val="es-CO"/>
        </w:rPr>
        <w:t xml:space="preserve">Fase 6 · Análisis, validación y </w:t>
      </w:r>
      <w:proofErr w:type="spellStart"/>
      <w:r w:rsidRPr="00883232">
        <w:rPr>
          <w:color w:val="000000" w:themeColor="text1"/>
          <w:lang w:val="es-CO"/>
        </w:rPr>
        <w:t>storytelling</w:t>
      </w:r>
      <w:proofErr w:type="spellEnd"/>
    </w:p>
    <w:p w14:paraId="2587C117" w14:textId="77777777" w:rsidR="00A73A4F" w:rsidRPr="00883232" w:rsidRDefault="00000000">
      <w:pPr>
        <w:rPr>
          <w:color w:val="000000" w:themeColor="text1"/>
          <w:lang w:val="es-CO"/>
        </w:rPr>
      </w:pPr>
      <w:r w:rsidRPr="00883232">
        <w:rPr>
          <w:color w:val="000000" w:themeColor="text1"/>
          <w:lang w:val="es-CO"/>
        </w:rPr>
        <w:t xml:space="preserve">Nivel de significancia: </w:t>
      </w:r>
      <w:r w:rsidRPr="00883232">
        <w:rPr>
          <w:color w:val="000000" w:themeColor="text1"/>
        </w:rPr>
        <w:t>α</w:t>
      </w:r>
      <w:r w:rsidRPr="00883232">
        <w:rPr>
          <w:color w:val="000000" w:themeColor="text1"/>
          <w:lang w:val="es-CO"/>
        </w:rPr>
        <w:t xml:space="preserve"> = 0,05; pruebas bilaterales.</w:t>
      </w:r>
    </w:p>
    <w:p w14:paraId="64076273" w14:textId="77777777" w:rsidR="00A73A4F" w:rsidRPr="00883232" w:rsidRDefault="00000000">
      <w:pPr>
        <w:rPr>
          <w:color w:val="000000" w:themeColor="text1"/>
          <w:lang w:val="es-CO"/>
        </w:rPr>
      </w:pPr>
      <w:r w:rsidRPr="00883232">
        <w:rPr>
          <w:color w:val="000000" w:themeColor="text1"/>
          <w:lang w:val="es-CO"/>
        </w:rPr>
        <w:t>Unidad de análisis: país o territorio.</w:t>
      </w:r>
    </w:p>
    <w:p w14:paraId="0A58C07B" w14:textId="77777777" w:rsidR="00A73A4F" w:rsidRPr="00883232" w:rsidRDefault="00000000">
      <w:pPr>
        <w:rPr>
          <w:color w:val="000000" w:themeColor="text1"/>
          <w:lang w:val="es-CO"/>
        </w:rPr>
      </w:pPr>
      <w:r w:rsidRPr="00883232">
        <w:rPr>
          <w:color w:val="000000" w:themeColor="text1"/>
          <w:lang w:val="es-CO"/>
        </w:rPr>
        <w:t>Datos: archivos finales de la fase 3, con 239 territorios y registros mensuales entre enero de 2020 y agosto de 2024.</w:t>
      </w:r>
    </w:p>
    <w:p w14:paraId="09DCD4FA" w14:textId="77777777" w:rsidR="00A73A4F" w:rsidRPr="00883232" w:rsidRDefault="00000000">
      <w:pPr>
        <w:pStyle w:val="Ttulo1"/>
        <w:rPr>
          <w:color w:val="000000" w:themeColor="text1"/>
          <w:lang w:val="es-CO"/>
        </w:rPr>
      </w:pPr>
      <w:r w:rsidRPr="00883232">
        <w:rPr>
          <w:color w:val="000000" w:themeColor="text1"/>
          <w:lang w:val="es-CO"/>
        </w:rPr>
        <w:t>1. Resumen ejecutivo</w:t>
      </w:r>
    </w:p>
    <w:p w14:paraId="77E32753" w14:textId="77777777" w:rsidR="00A73A4F" w:rsidRPr="00883232" w:rsidRDefault="00000000">
      <w:pPr>
        <w:rPr>
          <w:color w:val="000000" w:themeColor="text1"/>
          <w:lang w:val="es-CO"/>
        </w:rPr>
      </w:pPr>
      <w:r w:rsidRPr="00883232">
        <w:rPr>
          <w:color w:val="000000" w:themeColor="text1"/>
          <w:lang w:val="es-CO"/>
        </w:rPr>
        <w:t>El modelo reúne 775.900.191 casos confirmados y 7.058.885 muertes reportadas, equivalentes a una letalidad acumulada de 0,91% y una mortalidad global ponderada de 884,78 muertes por millón. La cobertura completa ponderada alcanza 65,32% entre los territorios con información.</w:t>
      </w:r>
    </w:p>
    <w:p w14:paraId="6068974F" w14:textId="77777777" w:rsidR="00A73A4F" w:rsidRPr="00883232" w:rsidRDefault="00000000">
      <w:pPr>
        <w:rPr>
          <w:color w:val="000000" w:themeColor="text1"/>
          <w:lang w:val="es-CO"/>
        </w:rPr>
      </w:pPr>
      <w:r w:rsidRPr="00883232">
        <w:rPr>
          <w:color w:val="000000" w:themeColor="text1"/>
          <w:lang w:val="es-CO"/>
        </w:rPr>
        <w:t>Las dos pruebas principales detectan asociaciones estadísticas, pero ninguna respalda la dirección originalmente esperada sin matices:</w:t>
      </w:r>
    </w:p>
    <w:p w14:paraId="27818ACA" w14:textId="77777777" w:rsidR="00A73A4F" w:rsidRPr="00883232" w:rsidRDefault="00000000">
      <w:pPr>
        <w:pStyle w:val="Listaconvietas"/>
        <w:rPr>
          <w:color w:val="000000" w:themeColor="text1"/>
          <w:lang w:val="es-CO"/>
        </w:rPr>
      </w:pPr>
      <w:r w:rsidRPr="00883232">
        <w:rPr>
          <w:color w:val="000000" w:themeColor="text1"/>
          <w:lang w:val="es-CO"/>
        </w:rPr>
        <w:t>El PIB per cápita presenta una asociación positiva moderada con la mortalidad reportada (</w:t>
      </w:r>
      <w:r w:rsidRPr="00883232">
        <w:rPr>
          <w:color w:val="000000" w:themeColor="text1"/>
        </w:rPr>
        <w:t>ρ</w:t>
      </w:r>
      <w:r w:rsidRPr="00883232">
        <w:rPr>
          <w:color w:val="000000" w:themeColor="text1"/>
          <w:lang w:val="es-CO"/>
        </w:rPr>
        <w:t xml:space="preserve"> = 0,601; p &lt; 0,001), no negativa. Se rechaza la hipótesis nula de ausencia de asociación, pero no se confirma la afirmación “a mayor PIB, menor mortalidad”.</w:t>
      </w:r>
    </w:p>
    <w:p w14:paraId="2FB64019" w14:textId="77777777" w:rsidR="00A73A4F" w:rsidRPr="00883232" w:rsidRDefault="00000000">
      <w:pPr>
        <w:pStyle w:val="Listaconvietas"/>
        <w:rPr>
          <w:color w:val="000000" w:themeColor="text1"/>
          <w:lang w:val="es-CO"/>
        </w:rPr>
      </w:pPr>
      <w:r w:rsidRPr="00883232">
        <w:rPr>
          <w:color w:val="000000" w:themeColor="text1"/>
          <w:lang w:val="es-CO"/>
        </w:rPr>
        <w:t>La cobertura completa presenta una asociación cruda positiva y débil con la mortalidad (</w:t>
      </w:r>
      <w:r w:rsidRPr="00883232">
        <w:rPr>
          <w:color w:val="000000" w:themeColor="text1"/>
        </w:rPr>
        <w:t>ρ</w:t>
      </w:r>
      <w:r w:rsidRPr="00883232">
        <w:rPr>
          <w:color w:val="000000" w:themeColor="text1"/>
          <w:lang w:val="es-CO"/>
        </w:rPr>
        <w:t xml:space="preserve"> = 0,156; p = 0,0217). Al comparar grupos mediante Welch, la diferencia no es significativa (p = 0,261), y al controlar PIB y envejecimiento la asociación cambia de signo. Por tanto, no hay evidencia estable en este diseño ecológico para confirmar que la mayor cobertura final se asocie por sí sola con menor mortalidad acumulada.</w:t>
      </w:r>
    </w:p>
    <w:p w14:paraId="7DC5DB51" w14:textId="77777777" w:rsidR="00A73A4F" w:rsidRPr="00883232" w:rsidRDefault="00000000">
      <w:pPr>
        <w:rPr>
          <w:color w:val="000000" w:themeColor="text1"/>
          <w:lang w:val="es-CO"/>
        </w:rPr>
      </w:pPr>
      <w:r w:rsidRPr="00883232">
        <w:rPr>
          <w:color w:val="000000" w:themeColor="text1"/>
          <w:lang w:val="es-CO"/>
        </w:rPr>
        <w:t>Estos resultados no prueban que el desarrollo económico o las vacunas aumenten las muertes. Muestran que los acumulados nacionales mezclan edad, capacidad de diagnóstico, calidad del registro, momento de las olas, acceso temprano a vacunas y respuesta posterior a una epidemia ya ocurrida.</w:t>
      </w:r>
    </w:p>
    <w:p w14:paraId="2A7BA345" w14:textId="77777777" w:rsidR="00A73A4F" w:rsidRPr="00883232" w:rsidRDefault="00000000">
      <w:pPr>
        <w:pStyle w:val="Ttulo1"/>
        <w:rPr>
          <w:color w:val="000000" w:themeColor="text1"/>
          <w:lang w:val="es-CO"/>
        </w:rPr>
      </w:pPr>
      <w:r w:rsidRPr="00883232">
        <w:rPr>
          <w:color w:val="000000" w:themeColor="text1"/>
          <w:lang w:val="es-CO"/>
        </w:rPr>
        <w:t>2. Estrategia estadística</w:t>
      </w:r>
    </w:p>
    <w:p w14:paraId="643356AC" w14:textId="77777777" w:rsidR="00A73A4F" w:rsidRPr="00883232" w:rsidRDefault="00000000">
      <w:pPr>
        <w:rPr>
          <w:color w:val="000000" w:themeColor="text1"/>
          <w:lang w:val="es-CO"/>
        </w:rPr>
      </w:pPr>
      <w:r w:rsidRPr="00883232">
        <w:rPr>
          <w:color w:val="000000" w:themeColor="text1"/>
          <w:lang w:val="es-CO"/>
        </w:rPr>
        <w:t xml:space="preserve">Se eligió la correlación de Spearman porque las variables presentan asimetría, valores extremos y relaciones que no necesariamente son lineales. El valor p responde si los datos son compatibles con una correlación poblacional nula; no mide importancia práctica ni causalidad. Por ello se reportan tamaño del efecto, intervalo de confianza por </w:t>
      </w:r>
      <w:proofErr w:type="spellStart"/>
      <w:r w:rsidRPr="00883232">
        <w:rPr>
          <w:color w:val="000000" w:themeColor="text1"/>
          <w:lang w:val="es-CO"/>
        </w:rPr>
        <w:t>bootstrap</w:t>
      </w:r>
      <w:proofErr w:type="spellEnd"/>
      <w:r w:rsidRPr="00883232">
        <w:rPr>
          <w:color w:val="000000" w:themeColor="text1"/>
          <w:lang w:val="es-CO"/>
        </w:rPr>
        <w:t xml:space="preserve"> y análisis de sensibilidad.</w:t>
      </w:r>
    </w:p>
    <w:p w14:paraId="2090DEB3" w14:textId="77777777" w:rsidR="00A73A4F" w:rsidRPr="00883232" w:rsidRDefault="00000000">
      <w:pPr>
        <w:rPr>
          <w:color w:val="000000" w:themeColor="text1"/>
          <w:lang w:val="es-CO"/>
        </w:rPr>
      </w:pPr>
      <w:r w:rsidRPr="00883232">
        <w:rPr>
          <w:color w:val="000000" w:themeColor="text1"/>
          <w:lang w:val="es-CO"/>
        </w:rPr>
        <w:t>La validación usa los CSV definitivos de la fase 3. Los tamaños muestrales cambian ligeramente frente al notebook inicial de la fase 2 porque el modelo final eliminó agregados/subnacionales, corrigió duplicados y usa solo observaciones con datos completos para cada prueba. La conclusión sustantiva se mantiene.</w:t>
      </w:r>
    </w:p>
    <w:p w14:paraId="70BC472D" w14:textId="77777777" w:rsidR="00A73A4F" w:rsidRPr="00883232" w:rsidRDefault="00000000">
      <w:pPr>
        <w:pStyle w:val="Ttulo1"/>
        <w:rPr>
          <w:color w:val="000000" w:themeColor="text1"/>
          <w:lang w:val="es-CO"/>
        </w:rPr>
      </w:pPr>
      <w:r w:rsidRPr="00883232">
        <w:rPr>
          <w:color w:val="000000" w:themeColor="text1"/>
          <w:lang w:val="es-CO"/>
        </w:rPr>
        <w:t>3. Validación de la hipótesis 1</w:t>
      </w:r>
    </w:p>
    <w:p w14:paraId="02037480" w14:textId="77777777" w:rsidR="00A73A4F" w:rsidRPr="00883232" w:rsidRDefault="00000000">
      <w:pPr>
        <w:rPr>
          <w:color w:val="000000" w:themeColor="text1"/>
          <w:lang w:val="es-CO"/>
        </w:rPr>
      </w:pPr>
      <w:r w:rsidRPr="00883232">
        <w:rPr>
          <w:color w:val="000000" w:themeColor="text1"/>
          <w:lang w:val="es-CO"/>
        </w:rPr>
        <w:t>Planteamiento: a mayor desarrollo económico, medido por PIB per cápita, menor mortalidad acumulada por COVID-19.</w:t>
      </w:r>
    </w:p>
    <w:p w14:paraId="5998FC3C" w14:textId="77777777" w:rsidR="00A73A4F" w:rsidRPr="00883232" w:rsidRDefault="00000000">
      <w:pPr>
        <w:pStyle w:val="Listaconvietas"/>
        <w:rPr>
          <w:color w:val="000000" w:themeColor="text1"/>
          <w:lang w:val="es-CO"/>
        </w:rPr>
      </w:pPr>
      <w:r w:rsidRPr="00883232">
        <w:rPr>
          <w:color w:val="000000" w:themeColor="text1"/>
          <w:lang w:val="es-CO"/>
        </w:rPr>
        <w:t xml:space="preserve">H0: </w:t>
      </w:r>
      <w:r w:rsidRPr="00883232">
        <w:rPr>
          <w:color w:val="000000" w:themeColor="text1"/>
        </w:rPr>
        <w:t>ρ</w:t>
      </w:r>
      <w:r w:rsidRPr="00883232">
        <w:rPr>
          <w:color w:val="000000" w:themeColor="text1"/>
          <w:lang w:val="es-CO"/>
        </w:rPr>
        <w:t>(PIB per cápita, muertes por millón) = 0.</w:t>
      </w:r>
    </w:p>
    <w:p w14:paraId="5D116A4E" w14:textId="77777777" w:rsidR="00A73A4F" w:rsidRPr="00883232" w:rsidRDefault="00000000">
      <w:pPr>
        <w:pStyle w:val="Listaconvietas"/>
        <w:rPr>
          <w:color w:val="000000" w:themeColor="text1"/>
        </w:rPr>
      </w:pPr>
      <w:r w:rsidRPr="00883232">
        <w:rPr>
          <w:color w:val="000000" w:themeColor="text1"/>
        </w:rPr>
        <w:t xml:space="preserve">H1 </w:t>
      </w:r>
      <w:proofErr w:type="spellStart"/>
      <w:r w:rsidRPr="00883232">
        <w:rPr>
          <w:color w:val="000000" w:themeColor="text1"/>
        </w:rPr>
        <w:t>estadística</w:t>
      </w:r>
      <w:proofErr w:type="spellEnd"/>
      <w:r w:rsidRPr="00883232">
        <w:rPr>
          <w:color w:val="000000" w:themeColor="text1"/>
        </w:rPr>
        <w:t>: ρ ≠ 0.</w:t>
      </w:r>
    </w:p>
    <w:p w14:paraId="00282162" w14:textId="77777777" w:rsidR="00A73A4F" w:rsidRPr="00883232" w:rsidRDefault="00000000">
      <w:pPr>
        <w:pStyle w:val="Listaconvietas"/>
        <w:rPr>
          <w:color w:val="000000" w:themeColor="text1"/>
        </w:rPr>
      </w:pPr>
      <w:r w:rsidRPr="00883232">
        <w:rPr>
          <w:color w:val="000000" w:themeColor="text1"/>
        </w:rPr>
        <w:t>Expectativa sustantiva: ρ &lt; 0.</w:t>
      </w:r>
    </w:p>
    <w:p w14:paraId="1E95676C" w14:textId="77777777" w:rsidR="00A73A4F" w:rsidRPr="00883232" w:rsidRDefault="00000000">
      <w:pPr>
        <w:pStyle w:val="Ttulo2"/>
        <w:rPr>
          <w:color w:val="000000" w:themeColor="text1"/>
        </w:rPr>
      </w:pPr>
      <w:r w:rsidRPr="00883232">
        <w:rPr>
          <w:color w:val="000000" w:themeColor="text1"/>
        </w:rPr>
        <w:lastRenderedPageBreak/>
        <w:t>Resultado principal</w:t>
      </w:r>
    </w:p>
    <w:tbl>
      <w:tblPr>
        <w:tblStyle w:val="Tablaconcuadrcula"/>
        <w:tblW w:w="0" w:type="auto"/>
        <w:tblLook w:val="04A0" w:firstRow="1" w:lastRow="0" w:firstColumn="1" w:lastColumn="0" w:noHBand="0" w:noVBand="1"/>
      </w:tblPr>
      <w:tblGrid>
        <w:gridCol w:w="1955"/>
        <w:gridCol w:w="1957"/>
        <w:gridCol w:w="1957"/>
        <w:gridCol w:w="1956"/>
        <w:gridCol w:w="1957"/>
      </w:tblGrid>
      <w:tr w:rsidR="00A73A4F" w:rsidRPr="00883232" w14:paraId="7770C02E" w14:textId="77777777" w:rsidTr="00883232">
        <w:tc>
          <w:tcPr>
            <w:tcW w:w="1958" w:type="dxa"/>
          </w:tcPr>
          <w:p w14:paraId="64AD6443" w14:textId="77777777" w:rsidR="00A73A4F" w:rsidRPr="00883232" w:rsidRDefault="00000000">
            <w:pPr>
              <w:spacing w:after="0"/>
              <w:rPr>
                <w:color w:val="000000" w:themeColor="text1"/>
              </w:rPr>
            </w:pPr>
            <w:r w:rsidRPr="00883232">
              <w:rPr>
                <w:b/>
                <w:color w:val="000000" w:themeColor="text1"/>
                <w:sz w:val="17"/>
              </w:rPr>
              <w:t>n</w:t>
            </w:r>
          </w:p>
        </w:tc>
        <w:tc>
          <w:tcPr>
            <w:tcW w:w="1958" w:type="dxa"/>
          </w:tcPr>
          <w:p w14:paraId="6AEC583F" w14:textId="77777777" w:rsidR="00A73A4F" w:rsidRPr="00883232" w:rsidRDefault="00000000">
            <w:pPr>
              <w:spacing w:after="0"/>
              <w:rPr>
                <w:color w:val="000000" w:themeColor="text1"/>
              </w:rPr>
            </w:pPr>
            <w:r w:rsidRPr="00883232">
              <w:rPr>
                <w:b/>
                <w:color w:val="000000" w:themeColor="text1"/>
                <w:sz w:val="17"/>
              </w:rPr>
              <w:t>ρ de Spearman</w:t>
            </w:r>
          </w:p>
        </w:tc>
        <w:tc>
          <w:tcPr>
            <w:tcW w:w="1958" w:type="dxa"/>
          </w:tcPr>
          <w:p w14:paraId="08025709" w14:textId="77777777" w:rsidR="00A73A4F" w:rsidRPr="00883232" w:rsidRDefault="00000000">
            <w:pPr>
              <w:spacing w:after="0"/>
              <w:rPr>
                <w:color w:val="000000" w:themeColor="text1"/>
              </w:rPr>
            </w:pPr>
            <w:r w:rsidRPr="00883232">
              <w:rPr>
                <w:b/>
                <w:color w:val="000000" w:themeColor="text1"/>
                <w:sz w:val="17"/>
              </w:rPr>
              <w:t>IC 95% bootstrap</w:t>
            </w:r>
          </w:p>
        </w:tc>
        <w:tc>
          <w:tcPr>
            <w:tcW w:w="1958" w:type="dxa"/>
          </w:tcPr>
          <w:p w14:paraId="5CD1A832" w14:textId="77777777" w:rsidR="00A73A4F" w:rsidRPr="00883232" w:rsidRDefault="00000000">
            <w:pPr>
              <w:spacing w:after="0"/>
              <w:rPr>
                <w:color w:val="000000" w:themeColor="text1"/>
              </w:rPr>
            </w:pPr>
            <w:r w:rsidRPr="00883232">
              <w:rPr>
                <w:b/>
                <w:color w:val="000000" w:themeColor="text1"/>
                <w:sz w:val="17"/>
              </w:rPr>
              <w:t>valor p</w:t>
            </w:r>
          </w:p>
        </w:tc>
        <w:tc>
          <w:tcPr>
            <w:tcW w:w="1958" w:type="dxa"/>
          </w:tcPr>
          <w:p w14:paraId="722E5B48" w14:textId="77777777" w:rsidR="00A73A4F" w:rsidRPr="00883232" w:rsidRDefault="00000000">
            <w:pPr>
              <w:spacing w:after="0"/>
              <w:rPr>
                <w:color w:val="000000" w:themeColor="text1"/>
              </w:rPr>
            </w:pPr>
            <w:r w:rsidRPr="00883232">
              <w:rPr>
                <w:b/>
                <w:color w:val="000000" w:themeColor="text1"/>
                <w:sz w:val="17"/>
              </w:rPr>
              <w:t>Decisión sobre H0</w:t>
            </w:r>
          </w:p>
        </w:tc>
      </w:tr>
    </w:tbl>
    <w:p w14:paraId="3B899B9F" w14:textId="77777777" w:rsidR="00A73A4F" w:rsidRPr="00883232" w:rsidRDefault="00A73A4F">
      <w:pPr>
        <w:spacing w:after="20"/>
        <w:rPr>
          <w:color w:val="000000" w:themeColor="text1"/>
        </w:rPr>
      </w:pPr>
    </w:p>
    <w:tbl>
      <w:tblPr>
        <w:tblStyle w:val="Tablaconcuadrcula"/>
        <w:tblW w:w="0" w:type="auto"/>
        <w:tblLook w:val="04A0" w:firstRow="1" w:lastRow="0" w:firstColumn="1" w:lastColumn="0" w:noHBand="0" w:noVBand="1"/>
      </w:tblPr>
      <w:tblGrid>
        <w:gridCol w:w="1957"/>
        <w:gridCol w:w="1956"/>
        <w:gridCol w:w="1956"/>
        <w:gridCol w:w="1956"/>
        <w:gridCol w:w="1957"/>
      </w:tblGrid>
      <w:tr w:rsidR="00A73A4F" w:rsidRPr="00883232" w14:paraId="222D72EE" w14:textId="77777777" w:rsidTr="00883232">
        <w:tc>
          <w:tcPr>
            <w:tcW w:w="1958" w:type="dxa"/>
          </w:tcPr>
          <w:p w14:paraId="292406CB" w14:textId="77777777" w:rsidR="00A73A4F" w:rsidRPr="00883232" w:rsidRDefault="00000000">
            <w:pPr>
              <w:spacing w:after="0"/>
              <w:rPr>
                <w:color w:val="000000" w:themeColor="text1"/>
              </w:rPr>
            </w:pPr>
            <w:r w:rsidRPr="00883232">
              <w:rPr>
                <w:b/>
                <w:color w:val="000000" w:themeColor="text1"/>
                <w:sz w:val="17"/>
              </w:rPr>
              <w:t>195</w:t>
            </w:r>
          </w:p>
        </w:tc>
        <w:tc>
          <w:tcPr>
            <w:tcW w:w="1958" w:type="dxa"/>
          </w:tcPr>
          <w:p w14:paraId="66256007" w14:textId="77777777" w:rsidR="00A73A4F" w:rsidRPr="00883232" w:rsidRDefault="00000000">
            <w:pPr>
              <w:spacing w:after="0"/>
              <w:rPr>
                <w:color w:val="000000" w:themeColor="text1"/>
              </w:rPr>
            </w:pPr>
            <w:r w:rsidRPr="00883232">
              <w:rPr>
                <w:b/>
                <w:color w:val="000000" w:themeColor="text1"/>
                <w:sz w:val="17"/>
              </w:rPr>
              <w:t>0,601</w:t>
            </w:r>
          </w:p>
        </w:tc>
        <w:tc>
          <w:tcPr>
            <w:tcW w:w="1958" w:type="dxa"/>
          </w:tcPr>
          <w:p w14:paraId="42E1D4EB" w14:textId="77777777" w:rsidR="00A73A4F" w:rsidRPr="00883232" w:rsidRDefault="00000000">
            <w:pPr>
              <w:spacing w:after="0"/>
              <w:rPr>
                <w:color w:val="000000" w:themeColor="text1"/>
              </w:rPr>
            </w:pPr>
            <w:r w:rsidRPr="00883232">
              <w:rPr>
                <w:b/>
                <w:color w:val="000000" w:themeColor="text1"/>
                <w:sz w:val="17"/>
              </w:rPr>
              <w:t>[0,485; 0,698]</w:t>
            </w:r>
          </w:p>
        </w:tc>
        <w:tc>
          <w:tcPr>
            <w:tcW w:w="1958" w:type="dxa"/>
          </w:tcPr>
          <w:p w14:paraId="6CB2162F" w14:textId="77777777" w:rsidR="00A73A4F" w:rsidRPr="00883232" w:rsidRDefault="00000000">
            <w:pPr>
              <w:spacing w:after="0"/>
              <w:rPr>
                <w:color w:val="000000" w:themeColor="text1"/>
              </w:rPr>
            </w:pPr>
            <w:r w:rsidRPr="00883232">
              <w:rPr>
                <w:b/>
                <w:color w:val="000000" w:themeColor="text1"/>
                <w:sz w:val="17"/>
              </w:rPr>
              <w:t>1,49 × 10</w:t>
            </w:r>
            <w:r w:rsidRPr="00883232">
              <w:rPr>
                <w:rFonts w:ascii="Cambria Math" w:hAnsi="Cambria Math" w:cs="Cambria Math"/>
                <w:b/>
                <w:color w:val="000000" w:themeColor="text1"/>
                <w:sz w:val="17"/>
              </w:rPr>
              <w:t>⁻</w:t>
            </w:r>
            <w:r w:rsidRPr="00883232">
              <w:rPr>
                <w:b/>
                <w:color w:val="000000" w:themeColor="text1"/>
                <w:sz w:val="17"/>
              </w:rPr>
              <w:t>²⁰</w:t>
            </w:r>
          </w:p>
        </w:tc>
        <w:tc>
          <w:tcPr>
            <w:tcW w:w="1958" w:type="dxa"/>
          </w:tcPr>
          <w:p w14:paraId="0709E89D" w14:textId="77777777" w:rsidR="00A73A4F" w:rsidRPr="00883232" w:rsidRDefault="00000000">
            <w:pPr>
              <w:spacing w:after="0"/>
              <w:rPr>
                <w:color w:val="000000" w:themeColor="text1"/>
              </w:rPr>
            </w:pPr>
            <w:r w:rsidRPr="00883232">
              <w:rPr>
                <w:b/>
                <w:color w:val="000000" w:themeColor="text1"/>
                <w:sz w:val="17"/>
              </w:rPr>
              <w:t>Rechazar H0</w:t>
            </w:r>
          </w:p>
        </w:tc>
      </w:tr>
    </w:tbl>
    <w:p w14:paraId="449EC829" w14:textId="77777777" w:rsidR="00A73A4F" w:rsidRPr="00883232" w:rsidRDefault="00A73A4F">
      <w:pPr>
        <w:spacing w:after="20"/>
        <w:rPr>
          <w:color w:val="000000" w:themeColor="text1"/>
        </w:rPr>
      </w:pPr>
    </w:p>
    <w:p w14:paraId="1A71B379" w14:textId="77777777" w:rsidR="00A73A4F" w:rsidRPr="00883232" w:rsidRDefault="00000000">
      <w:pPr>
        <w:rPr>
          <w:color w:val="000000" w:themeColor="text1"/>
          <w:lang w:val="es-CO"/>
        </w:rPr>
      </w:pPr>
      <w:r w:rsidRPr="00883232">
        <w:rPr>
          <w:color w:val="000000" w:themeColor="text1"/>
          <w:lang w:val="es-CO"/>
        </w:rPr>
        <w:t xml:space="preserve">Existe una asociación moderada y estadísticamente significativa, pero es positiva: en este </w:t>
      </w:r>
      <w:proofErr w:type="spellStart"/>
      <w:r w:rsidRPr="00883232">
        <w:rPr>
          <w:color w:val="000000" w:themeColor="text1"/>
          <w:lang w:val="es-CO"/>
        </w:rPr>
        <w:t>dataset</w:t>
      </w:r>
      <w:proofErr w:type="spellEnd"/>
      <w:r w:rsidRPr="00883232">
        <w:rPr>
          <w:color w:val="000000" w:themeColor="text1"/>
          <w:lang w:val="es-CO"/>
        </w:rPr>
        <w:t xml:space="preserve"> los países con mayor PIB tienden a registrar mayor mortalidad por millón. La significancia permite rechazar la ausencia de relación, no confirmar la dirección protectora esperada.</w:t>
      </w:r>
    </w:p>
    <w:p w14:paraId="16FEF5FC" w14:textId="77777777" w:rsidR="00A73A4F" w:rsidRPr="00883232" w:rsidRDefault="00000000">
      <w:pPr>
        <w:pStyle w:val="Ttulo2"/>
        <w:rPr>
          <w:color w:val="000000" w:themeColor="text1"/>
          <w:lang w:val="es-CO"/>
        </w:rPr>
      </w:pPr>
      <w:r w:rsidRPr="00883232">
        <w:rPr>
          <w:color w:val="000000" w:themeColor="text1"/>
          <w:lang w:val="es-CO"/>
        </w:rPr>
        <w:t>Sensibilidad y explicación</w:t>
      </w:r>
    </w:p>
    <w:p w14:paraId="4E2F93E5" w14:textId="77777777" w:rsidR="00A73A4F" w:rsidRPr="00883232" w:rsidRDefault="00000000">
      <w:pPr>
        <w:rPr>
          <w:color w:val="000000" w:themeColor="text1"/>
          <w:lang w:val="es-CO"/>
        </w:rPr>
      </w:pPr>
      <w:r w:rsidRPr="00883232">
        <w:rPr>
          <w:color w:val="000000" w:themeColor="text1"/>
          <w:lang w:val="es-CO"/>
        </w:rPr>
        <w:t>Al controlar únicamente el porcentaje de población mayor de 65 años mediante correlación parcial por rangos, el efecto baja a r parcial = 0,186 (n = 184; p = 0,0113). La fuerte reducción indica que la estructura etaria explica parte importante del patrón.</w:t>
      </w:r>
    </w:p>
    <w:p w14:paraId="12499FBF" w14:textId="77777777" w:rsidR="00A73A4F" w:rsidRPr="00883232" w:rsidRDefault="00000000">
      <w:pPr>
        <w:rPr>
          <w:color w:val="000000" w:themeColor="text1"/>
        </w:rPr>
      </w:pPr>
      <w:r w:rsidRPr="00883232">
        <w:rPr>
          <w:color w:val="000000" w:themeColor="text1"/>
        </w:rPr>
        <w:t xml:space="preserve">También son </w:t>
      </w:r>
      <w:proofErr w:type="spellStart"/>
      <w:r w:rsidRPr="00883232">
        <w:rPr>
          <w:color w:val="000000" w:themeColor="text1"/>
        </w:rPr>
        <w:t>plausibles</w:t>
      </w:r>
      <w:proofErr w:type="spellEnd"/>
      <w:r w:rsidRPr="00883232">
        <w:rPr>
          <w:color w:val="000000" w:themeColor="text1"/>
        </w:rPr>
        <w:t>:</w:t>
      </w:r>
    </w:p>
    <w:p w14:paraId="2D8216EA" w14:textId="77777777" w:rsidR="00A73A4F" w:rsidRPr="00883232" w:rsidRDefault="00000000">
      <w:pPr>
        <w:pStyle w:val="Listaconvietas"/>
        <w:rPr>
          <w:color w:val="000000" w:themeColor="text1"/>
          <w:lang w:val="es-CO"/>
        </w:rPr>
      </w:pPr>
      <w:r w:rsidRPr="00883232">
        <w:rPr>
          <w:color w:val="000000" w:themeColor="text1"/>
          <w:lang w:val="es-CO"/>
        </w:rPr>
        <w:t>mayor capacidad de diagnosticar y certificar muertes en países de ingresos altos;</w:t>
      </w:r>
    </w:p>
    <w:p w14:paraId="72B5CF25" w14:textId="77777777" w:rsidR="00A73A4F" w:rsidRPr="00883232" w:rsidRDefault="00000000">
      <w:pPr>
        <w:pStyle w:val="Listaconvietas"/>
        <w:rPr>
          <w:color w:val="000000" w:themeColor="text1"/>
          <w:lang w:val="es-CO"/>
        </w:rPr>
      </w:pPr>
      <w:r w:rsidRPr="00883232">
        <w:rPr>
          <w:color w:val="000000" w:themeColor="text1"/>
          <w:lang w:val="es-CO"/>
        </w:rPr>
        <w:t>subregistro en territorios con sistemas de vigilancia más débiles;</w:t>
      </w:r>
    </w:p>
    <w:p w14:paraId="43D8AADD" w14:textId="77777777" w:rsidR="00A73A4F" w:rsidRPr="00883232" w:rsidRDefault="00000000">
      <w:pPr>
        <w:pStyle w:val="Listaconvietas"/>
        <w:rPr>
          <w:color w:val="000000" w:themeColor="text1"/>
          <w:lang w:val="es-CO"/>
        </w:rPr>
      </w:pPr>
      <w:r w:rsidRPr="00883232">
        <w:rPr>
          <w:color w:val="000000" w:themeColor="text1"/>
          <w:lang w:val="es-CO"/>
        </w:rPr>
        <w:t>epidemias más tempranas en países conectados internacionalmente;</w:t>
      </w:r>
    </w:p>
    <w:p w14:paraId="6A1FB3D4" w14:textId="77777777" w:rsidR="00A73A4F" w:rsidRPr="00883232" w:rsidRDefault="00000000">
      <w:pPr>
        <w:pStyle w:val="Listaconvietas"/>
        <w:rPr>
          <w:color w:val="000000" w:themeColor="text1"/>
          <w:lang w:val="es-CO"/>
        </w:rPr>
      </w:pPr>
      <w:r w:rsidRPr="00883232">
        <w:rPr>
          <w:color w:val="000000" w:themeColor="text1"/>
          <w:lang w:val="es-CO"/>
        </w:rPr>
        <w:t>diferencias en edad, urbanización, comorbilidades y calendario de medidas sanitarias.</w:t>
      </w:r>
    </w:p>
    <w:p w14:paraId="5D42BA29" w14:textId="77777777" w:rsidR="00A73A4F" w:rsidRPr="00883232" w:rsidRDefault="00000000">
      <w:pPr>
        <w:rPr>
          <w:color w:val="000000" w:themeColor="text1"/>
          <w:lang w:val="es-CO"/>
        </w:rPr>
      </w:pPr>
      <w:r w:rsidRPr="00883232">
        <w:rPr>
          <w:color w:val="000000" w:themeColor="text1"/>
          <w:lang w:val="es-CO"/>
        </w:rPr>
        <w:t>Conclusión H1: se rechaza H0, pero la hipótesis direccional del proyecto no queda respaldada. El análisis identifica asociación reportada, no un efecto causal del PIB.</w:t>
      </w:r>
    </w:p>
    <w:p w14:paraId="63EC912E" w14:textId="77777777" w:rsidR="00A73A4F" w:rsidRPr="00883232" w:rsidRDefault="00000000">
      <w:pPr>
        <w:pStyle w:val="Ttulo1"/>
        <w:rPr>
          <w:color w:val="000000" w:themeColor="text1"/>
          <w:lang w:val="es-CO"/>
        </w:rPr>
      </w:pPr>
      <w:r w:rsidRPr="00883232">
        <w:rPr>
          <w:color w:val="000000" w:themeColor="text1"/>
          <w:lang w:val="es-CO"/>
        </w:rPr>
        <w:t>4. Validación de la hipótesis 2</w:t>
      </w:r>
    </w:p>
    <w:p w14:paraId="058A8D32" w14:textId="77777777" w:rsidR="00A73A4F" w:rsidRPr="00883232" w:rsidRDefault="00000000">
      <w:pPr>
        <w:rPr>
          <w:color w:val="000000" w:themeColor="text1"/>
          <w:lang w:val="es-CO"/>
        </w:rPr>
      </w:pPr>
      <w:r w:rsidRPr="00883232">
        <w:rPr>
          <w:color w:val="000000" w:themeColor="text1"/>
          <w:lang w:val="es-CO"/>
        </w:rPr>
        <w:t>Planteamiento: los países con mayor cobertura de vacunación completa presentan menor mortalidad acumulada.</w:t>
      </w:r>
    </w:p>
    <w:p w14:paraId="2F5777D4" w14:textId="77777777" w:rsidR="00A73A4F" w:rsidRPr="00883232" w:rsidRDefault="00000000">
      <w:pPr>
        <w:pStyle w:val="Listaconvietas"/>
        <w:rPr>
          <w:color w:val="000000" w:themeColor="text1"/>
          <w:lang w:val="es-CO"/>
        </w:rPr>
      </w:pPr>
      <w:r w:rsidRPr="00883232">
        <w:rPr>
          <w:color w:val="000000" w:themeColor="text1"/>
          <w:lang w:val="es-CO"/>
        </w:rPr>
        <w:t>H0: no existe asociación o diferencia en mortalidad según cobertura.</w:t>
      </w:r>
    </w:p>
    <w:p w14:paraId="499CD07D" w14:textId="77777777" w:rsidR="00A73A4F" w:rsidRPr="00883232" w:rsidRDefault="00000000">
      <w:pPr>
        <w:pStyle w:val="Listaconvietas"/>
        <w:rPr>
          <w:color w:val="000000" w:themeColor="text1"/>
          <w:lang w:val="es-CO"/>
        </w:rPr>
      </w:pPr>
      <w:r w:rsidRPr="00883232">
        <w:rPr>
          <w:color w:val="000000" w:themeColor="text1"/>
          <w:lang w:val="es-CO"/>
        </w:rPr>
        <w:t>H1 estadística: existe asociación o diferencia.</w:t>
      </w:r>
    </w:p>
    <w:p w14:paraId="1FF72866" w14:textId="77777777" w:rsidR="00A73A4F" w:rsidRPr="00883232" w:rsidRDefault="00000000">
      <w:pPr>
        <w:pStyle w:val="Listaconvietas"/>
        <w:rPr>
          <w:color w:val="000000" w:themeColor="text1"/>
          <w:lang w:val="es-CO"/>
        </w:rPr>
      </w:pPr>
      <w:r w:rsidRPr="00883232">
        <w:rPr>
          <w:color w:val="000000" w:themeColor="text1"/>
          <w:lang w:val="es-CO"/>
        </w:rPr>
        <w:t>Expectativa sustantiva: asociación negativa y menor mortalidad en el grupo de mayor cobertura.</w:t>
      </w:r>
    </w:p>
    <w:p w14:paraId="67D5947D" w14:textId="77777777" w:rsidR="00A73A4F" w:rsidRPr="00883232" w:rsidRDefault="00000000">
      <w:pPr>
        <w:pStyle w:val="Ttulo2"/>
        <w:rPr>
          <w:color w:val="000000" w:themeColor="text1"/>
        </w:rPr>
      </w:pPr>
      <w:proofErr w:type="spellStart"/>
      <w:r w:rsidRPr="00883232">
        <w:rPr>
          <w:color w:val="000000" w:themeColor="text1"/>
        </w:rPr>
        <w:t>Resultado</w:t>
      </w:r>
      <w:proofErr w:type="spellEnd"/>
      <w:r w:rsidRPr="00883232">
        <w:rPr>
          <w:color w:val="000000" w:themeColor="text1"/>
        </w:rPr>
        <w:t xml:space="preserve"> principal</w:t>
      </w:r>
    </w:p>
    <w:tbl>
      <w:tblPr>
        <w:tblStyle w:val="Tablaconcuadrcula"/>
        <w:tblW w:w="0" w:type="auto"/>
        <w:tblLook w:val="04A0" w:firstRow="1" w:lastRow="0" w:firstColumn="1" w:lastColumn="0" w:noHBand="0" w:noVBand="1"/>
      </w:tblPr>
      <w:tblGrid>
        <w:gridCol w:w="1955"/>
        <w:gridCol w:w="1957"/>
        <w:gridCol w:w="1957"/>
        <w:gridCol w:w="1956"/>
        <w:gridCol w:w="1957"/>
      </w:tblGrid>
      <w:tr w:rsidR="00A73A4F" w:rsidRPr="00883232" w14:paraId="6E475A6C" w14:textId="77777777" w:rsidTr="00883232">
        <w:tc>
          <w:tcPr>
            <w:tcW w:w="1958" w:type="dxa"/>
          </w:tcPr>
          <w:p w14:paraId="07AE6B89" w14:textId="77777777" w:rsidR="00A73A4F" w:rsidRPr="00883232" w:rsidRDefault="00000000">
            <w:pPr>
              <w:spacing w:after="0"/>
              <w:rPr>
                <w:color w:val="000000" w:themeColor="text1"/>
              </w:rPr>
            </w:pPr>
            <w:r w:rsidRPr="00883232">
              <w:rPr>
                <w:b/>
                <w:color w:val="000000" w:themeColor="text1"/>
                <w:sz w:val="17"/>
              </w:rPr>
              <w:t>n</w:t>
            </w:r>
          </w:p>
        </w:tc>
        <w:tc>
          <w:tcPr>
            <w:tcW w:w="1958" w:type="dxa"/>
          </w:tcPr>
          <w:p w14:paraId="49601E5E" w14:textId="77777777" w:rsidR="00A73A4F" w:rsidRPr="00883232" w:rsidRDefault="00000000">
            <w:pPr>
              <w:spacing w:after="0"/>
              <w:rPr>
                <w:color w:val="000000" w:themeColor="text1"/>
              </w:rPr>
            </w:pPr>
            <w:r w:rsidRPr="00883232">
              <w:rPr>
                <w:b/>
                <w:color w:val="000000" w:themeColor="text1"/>
                <w:sz w:val="17"/>
              </w:rPr>
              <w:t>ρ de Spearman</w:t>
            </w:r>
          </w:p>
        </w:tc>
        <w:tc>
          <w:tcPr>
            <w:tcW w:w="1958" w:type="dxa"/>
          </w:tcPr>
          <w:p w14:paraId="0779CD73" w14:textId="77777777" w:rsidR="00A73A4F" w:rsidRPr="00883232" w:rsidRDefault="00000000">
            <w:pPr>
              <w:spacing w:after="0"/>
              <w:rPr>
                <w:color w:val="000000" w:themeColor="text1"/>
              </w:rPr>
            </w:pPr>
            <w:r w:rsidRPr="00883232">
              <w:rPr>
                <w:b/>
                <w:color w:val="000000" w:themeColor="text1"/>
                <w:sz w:val="17"/>
              </w:rPr>
              <w:t>IC 95% bootstrap</w:t>
            </w:r>
          </w:p>
        </w:tc>
        <w:tc>
          <w:tcPr>
            <w:tcW w:w="1958" w:type="dxa"/>
          </w:tcPr>
          <w:p w14:paraId="66CB6B53" w14:textId="77777777" w:rsidR="00A73A4F" w:rsidRPr="00883232" w:rsidRDefault="00000000">
            <w:pPr>
              <w:spacing w:after="0"/>
              <w:rPr>
                <w:color w:val="000000" w:themeColor="text1"/>
              </w:rPr>
            </w:pPr>
            <w:r w:rsidRPr="00883232">
              <w:rPr>
                <w:b/>
                <w:color w:val="000000" w:themeColor="text1"/>
                <w:sz w:val="17"/>
              </w:rPr>
              <w:t>valor p</w:t>
            </w:r>
          </w:p>
        </w:tc>
        <w:tc>
          <w:tcPr>
            <w:tcW w:w="1958" w:type="dxa"/>
          </w:tcPr>
          <w:p w14:paraId="24E131FC" w14:textId="77777777" w:rsidR="00A73A4F" w:rsidRPr="00883232" w:rsidRDefault="00000000">
            <w:pPr>
              <w:spacing w:after="0"/>
              <w:rPr>
                <w:color w:val="000000" w:themeColor="text1"/>
              </w:rPr>
            </w:pPr>
            <w:r w:rsidRPr="00883232">
              <w:rPr>
                <w:b/>
                <w:color w:val="000000" w:themeColor="text1"/>
                <w:sz w:val="17"/>
              </w:rPr>
              <w:t>Decisión sobre H0</w:t>
            </w:r>
          </w:p>
        </w:tc>
      </w:tr>
    </w:tbl>
    <w:p w14:paraId="4264E52F" w14:textId="77777777" w:rsidR="00A73A4F" w:rsidRPr="00883232" w:rsidRDefault="00A73A4F">
      <w:pPr>
        <w:spacing w:after="20"/>
        <w:rPr>
          <w:color w:val="000000" w:themeColor="text1"/>
        </w:rPr>
      </w:pPr>
    </w:p>
    <w:tbl>
      <w:tblPr>
        <w:tblStyle w:val="Tablaconcuadrcula"/>
        <w:tblW w:w="0" w:type="auto"/>
        <w:tblLook w:val="04A0" w:firstRow="1" w:lastRow="0" w:firstColumn="1" w:lastColumn="0" w:noHBand="0" w:noVBand="1"/>
      </w:tblPr>
      <w:tblGrid>
        <w:gridCol w:w="1957"/>
        <w:gridCol w:w="1956"/>
        <w:gridCol w:w="1956"/>
        <w:gridCol w:w="1956"/>
        <w:gridCol w:w="1957"/>
      </w:tblGrid>
      <w:tr w:rsidR="00A73A4F" w:rsidRPr="00883232" w14:paraId="507BD6D0" w14:textId="77777777" w:rsidTr="00883232">
        <w:tc>
          <w:tcPr>
            <w:tcW w:w="1958" w:type="dxa"/>
          </w:tcPr>
          <w:p w14:paraId="33B910F8" w14:textId="77777777" w:rsidR="00A73A4F" w:rsidRPr="00883232" w:rsidRDefault="00000000">
            <w:pPr>
              <w:spacing w:after="0"/>
              <w:rPr>
                <w:color w:val="000000" w:themeColor="text1"/>
              </w:rPr>
            </w:pPr>
            <w:r w:rsidRPr="00883232">
              <w:rPr>
                <w:b/>
                <w:color w:val="000000" w:themeColor="text1"/>
                <w:sz w:val="17"/>
              </w:rPr>
              <w:t>217</w:t>
            </w:r>
          </w:p>
        </w:tc>
        <w:tc>
          <w:tcPr>
            <w:tcW w:w="1958" w:type="dxa"/>
          </w:tcPr>
          <w:p w14:paraId="5DCCCC37" w14:textId="77777777" w:rsidR="00A73A4F" w:rsidRPr="00883232" w:rsidRDefault="00000000">
            <w:pPr>
              <w:spacing w:after="0"/>
              <w:rPr>
                <w:color w:val="000000" w:themeColor="text1"/>
              </w:rPr>
            </w:pPr>
            <w:r w:rsidRPr="00883232">
              <w:rPr>
                <w:b/>
                <w:color w:val="000000" w:themeColor="text1"/>
                <w:sz w:val="17"/>
              </w:rPr>
              <w:t>0,156</w:t>
            </w:r>
          </w:p>
        </w:tc>
        <w:tc>
          <w:tcPr>
            <w:tcW w:w="1958" w:type="dxa"/>
          </w:tcPr>
          <w:p w14:paraId="14C336D2" w14:textId="77777777" w:rsidR="00A73A4F" w:rsidRPr="00883232" w:rsidRDefault="00000000">
            <w:pPr>
              <w:spacing w:after="0"/>
              <w:rPr>
                <w:color w:val="000000" w:themeColor="text1"/>
              </w:rPr>
            </w:pPr>
            <w:r w:rsidRPr="00883232">
              <w:rPr>
                <w:b/>
                <w:color w:val="000000" w:themeColor="text1"/>
                <w:sz w:val="17"/>
              </w:rPr>
              <w:t>[0,012; 0,294]</w:t>
            </w:r>
          </w:p>
        </w:tc>
        <w:tc>
          <w:tcPr>
            <w:tcW w:w="1958" w:type="dxa"/>
          </w:tcPr>
          <w:p w14:paraId="201ACBCA" w14:textId="77777777" w:rsidR="00A73A4F" w:rsidRPr="00883232" w:rsidRDefault="00000000">
            <w:pPr>
              <w:spacing w:after="0"/>
              <w:rPr>
                <w:color w:val="000000" w:themeColor="text1"/>
              </w:rPr>
            </w:pPr>
            <w:r w:rsidRPr="00883232">
              <w:rPr>
                <w:b/>
                <w:color w:val="000000" w:themeColor="text1"/>
                <w:sz w:val="17"/>
              </w:rPr>
              <w:t>0,0217</w:t>
            </w:r>
          </w:p>
        </w:tc>
        <w:tc>
          <w:tcPr>
            <w:tcW w:w="1958" w:type="dxa"/>
          </w:tcPr>
          <w:p w14:paraId="3F08D262" w14:textId="77777777" w:rsidR="00A73A4F" w:rsidRPr="00883232" w:rsidRDefault="00000000">
            <w:pPr>
              <w:spacing w:after="0"/>
              <w:rPr>
                <w:color w:val="000000" w:themeColor="text1"/>
                <w:lang w:val="es-CO"/>
              </w:rPr>
            </w:pPr>
            <w:r w:rsidRPr="00883232">
              <w:rPr>
                <w:b/>
                <w:color w:val="000000" w:themeColor="text1"/>
                <w:sz w:val="17"/>
                <w:lang w:val="es-CO"/>
              </w:rPr>
              <w:t>Rechazar H0 de correlación nula</w:t>
            </w:r>
          </w:p>
        </w:tc>
      </w:tr>
    </w:tbl>
    <w:p w14:paraId="39ECC1E7" w14:textId="77777777" w:rsidR="00A73A4F" w:rsidRPr="00883232" w:rsidRDefault="00A73A4F">
      <w:pPr>
        <w:spacing w:after="20"/>
        <w:rPr>
          <w:color w:val="000000" w:themeColor="text1"/>
          <w:lang w:val="es-CO"/>
        </w:rPr>
      </w:pPr>
    </w:p>
    <w:p w14:paraId="4AD79AAD" w14:textId="77777777" w:rsidR="00A73A4F" w:rsidRPr="00883232" w:rsidRDefault="00000000">
      <w:pPr>
        <w:rPr>
          <w:color w:val="000000" w:themeColor="text1"/>
          <w:lang w:val="es-CO"/>
        </w:rPr>
      </w:pPr>
      <w:r w:rsidRPr="00883232">
        <w:rPr>
          <w:color w:val="000000" w:themeColor="text1"/>
          <w:lang w:val="es-CO"/>
        </w:rPr>
        <w:t>La asociación cruda es débil y positiva, contraria a la expectativa. Además, su límite inferior está muy cerca de cero, por lo que el efecto es pequeño e inestable.</w:t>
      </w:r>
    </w:p>
    <w:p w14:paraId="4C55BDEE" w14:textId="77777777" w:rsidR="00A73A4F" w:rsidRPr="00883232" w:rsidRDefault="00000000">
      <w:pPr>
        <w:pStyle w:val="Ttulo2"/>
        <w:rPr>
          <w:color w:val="000000" w:themeColor="text1"/>
          <w:lang w:val="es-CO"/>
        </w:rPr>
      </w:pPr>
      <w:r w:rsidRPr="00883232">
        <w:rPr>
          <w:color w:val="000000" w:themeColor="text1"/>
          <w:lang w:val="es-CO"/>
        </w:rPr>
        <w:t>Comparación de grupos</w:t>
      </w:r>
    </w:p>
    <w:p w14:paraId="1064408F" w14:textId="77777777" w:rsidR="00A73A4F" w:rsidRPr="00883232" w:rsidRDefault="00000000">
      <w:pPr>
        <w:rPr>
          <w:color w:val="000000" w:themeColor="text1"/>
          <w:lang w:val="es-CO"/>
        </w:rPr>
      </w:pPr>
      <w:r w:rsidRPr="00883232">
        <w:rPr>
          <w:color w:val="000000" w:themeColor="text1"/>
          <w:lang w:val="es-CO"/>
        </w:rPr>
        <w:t>Se dividieron los países usando la mediana de cobertura completa, 62,28%.</w:t>
      </w:r>
    </w:p>
    <w:tbl>
      <w:tblPr>
        <w:tblStyle w:val="Tablaconcuadrcula"/>
        <w:tblW w:w="0" w:type="auto"/>
        <w:tblLook w:val="04A0" w:firstRow="1" w:lastRow="0" w:firstColumn="1" w:lastColumn="0" w:noHBand="0" w:noVBand="1"/>
      </w:tblPr>
      <w:tblGrid>
        <w:gridCol w:w="2445"/>
        <w:gridCol w:w="2445"/>
        <w:gridCol w:w="2446"/>
        <w:gridCol w:w="2446"/>
      </w:tblGrid>
      <w:tr w:rsidR="00A73A4F" w:rsidRPr="00883232" w14:paraId="215D9C3F" w14:textId="77777777" w:rsidTr="00883232">
        <w:tc>
          <w:tcPr>
            <w:tcW w:w="2448" w:type="dxa"/>
          </w:tcPr>
          <w:p w14:paraId="710D7368" w14:textId="77777777" w:rsidR="00A73A4F" w:rsidRPr="00883232" w:rsidRDefault="00000000">
            <w:pPr>
              <w:spacing w:after="0"/>
              <w:rPr>
                <w:color w:val="000000" w:themeColor="text1"/>
              </w:rPr>
            </w:pPr>
            <w:r w:rsidRPr="00883232">
              <w:rPr>
                <w:b/>
                <w:color w:val="000000" w:themeColor="text1"/>
                <w:sz w:val="17"/>
              </w:rPr>
              <w:t>Grupo</w:t>
            </w:r>
          </w:p>
        </w:tc>
        <w:tc>
          <w:tcPr>
            <w:tcW w:w="2448" w:type="dxa"/>
          </w:tcPr>
          <w:p w14:paraId="2C11453C" w14:textId="77777777" w:rsidR="00A73A4F" w:rsidRPr="00883232" w:rsidRDefault="00000000">
            <w:pPr>
              <w:spacing w:after="0"/>
              <w:rPr>
                <w:color w:val="000000" w:themeColor="text1"/>
              </w:rPr>
            </w:pPr>
            <w:r w:rsidRPr="00883232">
              <w:rPr>
                <w:b/>
                <w:color w:val="000000" w:themeColor="text1"/>
                <w:sz w:val="17"/>
              </w:rPr>
              <w:t>n</w:t>
            </w:r>
          </w:p>
        </w:tc>
        <w:tc>
          <w:tcPr>
            <w:tcW w:w="2448" w:type="dxa"/>
          </w:tcPr>
          <w:p w14:paraId="2D99CA37" w14:textId="77777777" w:rsidR="00A73A4F" w:rsidRPr="00883232" w:rsidRDefault="00000000">
            <w:pPr>
              <w:spacing w:after="0"/>
              <w:rPr>
                <w:color w:val="000000" w:themeColor="text1"/>
                <w:lang w:val="es-CO"/>
              </w:rPr>
            </w:pPr>
            <w:r w:rsidRPr="00883232">
              <w:rPr>
                <w:b/>
                <w:color w:val="000000" w:themeColor="text1"/>
                <w:sz w:val="17"/>
                <w:lang w:val="es-CO"/>
              </w:rPr>
              <w:t>Media de muertes por millón</w:t>
            </w:r>
          </w:p>
        </w:tc>
        <w:tc>
          <w:tcPr>
            <w:tcW w:w="2448" w:type="dxa"/>
          </w:tcPr>
          <w:p w14:paraId="7FEF7B64" w14:textId="77777777" w:rsidR="00A73A4F" w:rsidRPr="00883232" w:rsidRDefault="00000000">
            <w:pPr>
              <w:spacing w:after="0"/>
              <w:rPr>
                <w:color w:val="000000" w:themeColor="text1"/>
                <w:lang w:val="es-CO"/>
              </w:rPr>
            </w:pPr>
            <w:r w:rsidRPr="00883232">
              <w:rPr>
                <w:b/>
                <w:color w:val="000000" w:themeColor="text1"/>
                <w:sz w:val="17"/>
                <w:lang w:val="es-CO"/>
              </w:rPr>
              <w:t>Mediana de muertes por millón</w:t>
            </w:r>
          </w:p>
        </w:tc>
      </w:tr>
    </w:tbl>
    <w:p w14:paraId="1F3FEC8A" w14:textId="77777777" w:rsidR="00A73A4F" w:rsidRPr="00883232" w:rsidRDefault="00A73A4F">
      <w:pPr>
        <w:spacing w:after="20"/>
        <w:rPr>
          <w:color w:val="000000" w:themeColor="text1"/>
          <w:lang w:val="es-CO"/>
        </w:rPr>
      </w:pPr>
    </w:p>
    <w:tbl>
      <w:tblPr>
        <w:tblStyle w:val="Tablaconcuadrcula"/>
        <w:tblW w:w="0" w:type="auto"/>
        <w:tblLook w:val="04A0" w:firstRow="1" w:lastRow="0" w:firstColumn="1" w:lastColumn="0" w:noHBand="0" w:noVBand="1"/>
      </w:tblPr>
      <w:tblGrid>
        <w:gridCol w:w="2446"/>
        <w:gridCol w:w="2445"/>
        <w:gridCol w:w="2446"/>
        <w:gridCol w:w="2445"/>
      </w:tblGrid>
      <w:tr w:rsidR="00A73A4F" w:rsidRPr="00883232" w14:paraId="2922D5D1" w14:textId="77777777" w:rsidTr="00883232">
        <w:tc>
          <w:tcPr>
            <w:tcW w:w="2448" w:type="dxa"/>
          </w:tcPr>
          <w:p w14:paraId="726220D4" w14:textId="77777777" w:rsidR="00A73A4F" w:rsidRPr="00883232" w:rsidRDefault="00000000">
            <w:pPr>
              <w:spacing w:after="0"/>
              <w:rPr>
                <w:color w:val="000000" w:themeColor="text1"/>
              </w:rPr>
            </w:pPr>
            <w:proofErr w:type="spellStart"/>
            <w:r w:rsidRPr="00883232">
              <w:rPr>
                <w:b/>
                <w:color w:val="000000" w:themeColor="text1"/>
                <w:sz w:val="17"/>
              </w:rPr>
              <w:t>Cobertura</w:t>
            </w:r>
            <w:proofErr w:type="spellEnd"/>
            <w:r w:rsidRPr="00883232">
              <w:rPr>
                <w:b/>
                <w:color w:val="000000" w:themeColor="text1"/>
                <w:sz w:val="17"/>
              </w:rPr>
              <w:t xml:space="preserve"> </w:t>
            </w:r>
            <w:proofErr w:type="spellStart"/>
            <w:r w:rsidRPr="00883232">
              <w:rPr>
                <w:b/>
                <w:color w:val="000000" w:themeColor="text1"/>
                <w:sz w:val="17"/>
              </w:rPr>
              <w:t>alta</w:t>
            </w:r>
            <w:proofErr w:type="spellEnd"/>
            <w:r w:rsidRPr="00883232">
              <w:rPr>
                <w:b/>
                <w:color w:val="000000" w:themeColor="text1"/>
                <w:sz w:val="17"/>
              </w:rPr>
              <w:t xml:space="preserve"> (≥ </w:t>
            </w:r>
            <w:proofErr w:type="spellStart"/>
            <w:r w:rsidRPr="00883232">
              <w:rPr>
                <w:b/>
                <w:color w:val="000000" w:themeColor="text1"/>
                <w:sz w:val="17"/>
              </w:rPr>
              <w:t>mediana</w:t>
            </w:r>
            <w:proofErr w:type="spellEnd"/>
            <w:r w:rsidRPr="00883232">
              <w:rPr>
                <w:b/>
                <w:color w:val="000000" w:themeColor="text1"/>
                <w:sz w:val="17"/>
              </w:rPr>
              <w:t>)</w:t>
            </w:r>
          </w:p>
        </w:tc>
        <w:tc>
          <w:tcPr>
            <w:tcW w:w="2448" w:type="dxa"/>
          </w:tcPr>
          <w:p w14:paraId="399255C9" w14:textId="77777777" w:rsidR="00A73A4F" w:rsidRPr="00883232" w:rsidRDefault="00000000">
            <w:pPr>
              <w:spacing w:after="0"/>
              <w:rPr>
                <w:color w:val="000000" w:themeColor="text1"/>
              </w:rPr>
            </w:pPr>
            <w:r w:rsidRPr="00883232">
              <w:rPr>
                <w:b/>
                <w:color w:val="000000" w:themeColor="text1"/>
                <w:sz w:val="17"/>
              </w:rPr>
              <w:t>109</w:t>
            </w:r>
          </w:p>
        </w:tc>
        <w:tc>
          <w:tcPr>
            <w:tcW w:w="2448" w:type="dxa"/>
          </w:tcPr>
          <w:p w14:paraId="3DF1C1BB" w14:textId="77777777" w:rsidR="00A73A4F" w:rsidRPr="00883232" w:rsidRDefault="00000000">
            <w:pPr>
              <w:spacing w:after="0"/>
              <w:rPr>
                <w:color w:val="000000" w:themeColor="text1"/>
              </w:rPr>
            </w:pPr>
            <w:r w:rsidRPr="00883232">
              <w:rPr>
                <w:b/>
                <w:color w:val="000000" w:themeColor="text1"/>
                <w:sz w:val="17"/>
              </w:rPr>
              <w:t>1.351,76</w:t>
            </w:r>
          </w:p>
        </w:tc>
        <w:tc>
          <w:tcPr>
            <w:tcW w:w="2448" w:type="dxa"/>
          </w:tcPr>
          <w:p w14:paraId="7EA2083C" w14:textId="77777777" w:rsidR="00A73A4F" w:rsidRPr="00883232" w:rsidRDefault="00000000">
            <w:pPr>
              <w:spacing w:after="0"/>
              <w:rPr>
                <w:color w:val="000000" w:themeColor="text1"/>
              </w:rPr>
            </w:pPr>
            <w:r w:rsidRPr="00883232">
              <w:rPr>
                <w:b/>
                <w:color w:val="000000" w:themeColor="text1"/>
                <w:sz w:val="17"/>
              </w:rPr>
              <w:t>964,04</w:t>
            </w:r>
          </w:p>
        </w:tc>
      </w:tr>
    </w:tbl>
    <w:p w14:paraId="38717BAF" w14:textId="77777777" w:rsidR="00A73A4F" w:rsidRPr="00883232" w:rsidRDefault="00A73A4F">
      <w:pPr>
        <w:spacing w:after="20"/>
        <w:rPr>
          <w:color w:val="000000" w:themeColor="text1"/>
        </w:rPr>
      </w:pPr>
    </w:p>
    <w:tbl>
      <w:tblPr>
        <w:tblStyle w:val="Tablaconcuadrcula"/>
        <w:tblW w:w="0" w:type="auto"/>
        <w:tblLook w:val="04A0" w:firstRow="1" w:lastRow="0" w:firstColumn="1" w:lastColumn="0" w:noHBand="0" w:noVBand="1"/>
      </w:tblPr>
      <w:tblGrid>
        <w:gridCol w:w="2446"/>
        <w:gridCol w:w="2445"/>
        <w:gridCol w:w="2446"/>
        <w:gridCol w:w="2445"/>
      </w:tblGrid>
      <w:tr w:rsidR="00A73A4F" w:rsidRPr="00883232" w14:paraId="664609AE" w14:textId="77777777" w:rsidTr="00883232">
        <w:tc>
          <w:tcPr>
            <w:tcW w:w="2448" w:type="dxa"/>
          </w:tcPr>
          <w:p w14:paraId="74A2AA5C" w14:textId="77777777" w:rsidR="00A73A4F" w:rsidRPr="00883232" w:rsidRDefault="00000000">
            <w:pPr>
              <w:spacing w:after="0"/>
              <w:rPr>
                <w:color w:val="000000" w:themeColor="text1"/>
              </w:rPr>
            </w:pPr>
            <w:r w:rsidRPr="00883232">
              <w:rPr>
                <w:b/>
                <w:color w:val="000000" w:themeColor="text1"/>
                <w:sz w:val="17"/>
              </w:rPr>
              <w:lastRenderedPageBreak/>
              <w:t>Cobertura baja (&lt; mediana)</w:t>
            </w:r>
          </w:p>
        </w:tc>
        <w:tc>
          <w:tcPr>
            <w:tcW w:w="2448" w:type="dxa"/>
          </w:tcPr>
          <w:p w14:paraId="1F6E77B2" w14:textId="77777777" w:rsidR="00A73A4F" w:rsidRPr="00883232" w:rsidRDefault="00000000">
            <w:pPr>
              <w:spacing w:after="0"/>
              <w:rPr>
                <w:color w:val="000000" w:themeColor="text1"/>
              </w:rPr>
            </w:pPr>
            <w:r w:rsidRPr="00883232">
              <w:rPr>
                <w:b/>
                <w:color w:val="000000" w:themeColor="text1"/>
                <w:sz w:val="17"/>
              </w:rPr>
              <w:t>108</w:t>
            </w:r>
          </w:p>
        </w:tc>
        <w:tc>
          <w:tcPr>
            <w:tcW w:w="2448" w:type="dxa"/>
          </w:tcPr>
          <w:p w14:paraId="6BF2AD45" w14:textId="77777777" w:rsidR="00A73A4F" w:rsidRPr="00883232" w:rsidRDefault="00000000">
            <w:pPr>
              <w:spacing w:after="0"/>
              <w:rPr>
                <w:color w:val="000000" w:themeColor="text1"/>
              </w:rPr>
            </w:pPr>
            <w:r w:rsidRPr="00883232">
              <w:rPr>
                <w:b/>
                <w:color w:val="000000" w:themeColor="text1"/>
                <w:sz w:val="17"/>
              </w:rPr>
              <w:t>1.145,39</w:t>
            </w:r>
          </w:p>
        </w:tc>
        <w:tc>
          <w:tcPr>
            <w:tcW w:w="2448" w:type="dxa"/>
          </w:tcPr>
          <w:p w14:paraId="57EE2674" w14:textId="77777777" w:rsidR="00A73A4F" w:rsidRPr="00883232" w:rsidRDefault="00000000">
            <w:pPr>
              <w:spacing w:after="0"/>
              <w:rPr>
                <w:color w:val="000000" w:themeColor="text1"/>
              </w:rPr>
            </w:pPr>
            <w:r w:rsidRPr="00883232">
              <w:rPr>
                <w:b/>
                <w:color w:val="000000" w:themeColor="text1"/>
                <w:sz w:val="17"/>
              </w:rPr>
              <w:t>351,76</w:t>
            </w:r>
          </w:p>
        </w:tc>
      </w:tr>
    </w:tbl>
    <w:p w14:paraId="27EE3460" w14:textId="77777777" w:rsidR="00A73A4F" w:rsidRPr="00883232" w:rsidRDefault="00A73A4F">
      <w:pPr>
        <w:spacing w:after="20"/>
        <w:rPr>
          <w:color w:val="000000" w:themeColor="text1"/>
        </w:rPr>
      </w:pPr>
    </w:p>
    <w:p w14:paraId="785C0A62" w14:textId="77777777" w:rsidR="00A73A4F" w:rsidRPr="00883232" w:rsidRDefault="00000000">
      <w:pPr>
        <w:pStyle w:val="Listaconvietas"/>
        <w:rPr>
          <w:color w:val="000000" w:themeColor="text1"/>
          <w:lang w:val="es-CO"/>
        </w:rPr>
      </w:pPr>
      <w:r w:rsidRPr="00883232">
        <w:rPr>
          <w:color w:val="000000" w:themeColor="text1"/>
        </w:rPr>
        <w:t xml:space="preserve">t de Welch: t = 1,127; p = 0,261. </w:t>
      </w:r>
      <w:r w:rsidRPr="00883232">
        <w:rPr>
          <w:color w:val="000000" w:themeColor="text1"/>
          <w:lang w:val="es-CO"/>
        </w:rPr>
        <w:t>No se rechaza H0 de igualdad de medias.</w:t>
      </w:r>
    </w:p>
    <w:p w14:paraId="7E0744B0" w14:textId="77777777" w:rsidR="00A73A4F" w:rsidRPr="00883232" w:rsidRDefault="00000000">
      <w:pPr>
        <w:pStyle w:val="Listaconvietas"/>
        <w:rPr>
          <w:color w:val="000000" w:themeColor="text1"/>
          <w:lang w:val="es-CO"/>
        </w:rPr>
      </w:pPr>
      <w:r w:rsidRPr="00883232">
        <w:rPr>
          <w:color w:val="000000" w:themeColor="text1"/>
          <w:lang w:val="es-CO"/>
        </w:rPr>
        <w:t>Mann–Whitney: U = 6.803,5; p = 0,0474. El resultado es limítrofe y también apunta en dirección contraria a la esperada.</w:t>
      </w:r>
    </w:p>
    <w:p w14:paraId="77E31423" w14:textId="77777777" w:rsidR="00A73A4F" w:rsidRPr="00883232" w:rsidRDefault="00000000">
      <w:pPr>
        <w:rPr>
          <w:color w:val="000000" w:themeColor="text1"/>
          <w:lang w:val="es-CO"/>
        </w:rPr>
      </w:pPr>
      <w:r w:rsidRPr="00883232">
        <w:rPr>
          <w:color w:val="000000" w:themeColor="text1"/>
          <w:lang w:val="es-CO"/>
        </w:rPr>
        <w:t>La mortalidad no es normal en ninguno de los grupos (Shapiro p &lt; 0,001). La discrepancia entre pruebas, el tamaño de efecto pequeño y la dirección contraria impiden presentar una conclusión simple de beneficio o perjuicio usando estos acumulados.</w:t>
      </w:r>
    </w:p>
    <w:p w14:paraId="5D887AD3" w14:textId="77777777" w:rsidR="00A73A4F" w:rsidRPr="00883232" w:rsidRDefault="00000000">
      <w:pPr>
        <w:pStyle w:val="Ttulo2"/>
        <w:rPr>
          <w:color w:val="000000" w:themeColor="text1"/>
        </w:rPr>
      </w:pPr>
      <w:proofErr w:type="spellStart"/>
      <w:r w:rsidRPr="00883232">
        <w:rPr>
          <w:color w:val="000000" w:themeColor="text1"/>
        </w:rPr>
        <w:t>Ajustes</w:t>
      </w:r>
      <w:proofErr w:type="spellEnd"/>
      <w:r w:rsidRPr="00883232">
        <w:rPr>
          <w:color w:val="000000" w:themeColor="text1"/>
        </w:rPr>
        <w:t xml:space="preserve"> y </w:t>
      </w:r>
      <w:proofErr w:type="spellStart"/>
      <w:r w:rsidRPr="00883232">
        <w:rPr>
          <w:color w:val="000000" w:themeColor="text1"/>
        </w:rPr>
        <w:t>orden</w:t>
      </w:r>
      <w:proofErr w:type="spellEnd"/>
      <w:r w:rsidRPr="00883232">
        <w:rPr>
          <w:color w:val="000000" w:themeColor="text1"/>
        </w:rPr>
        <w:t xml:space="preserve"> temporal</w:t>
      </w:r>
    </w:p>
    <w:p w14:paraId="57DCD115" w14:textId="77777777" w:rsidR="00A73A4F" w:rsidRPr="00883232" w:rsidRDefault="00000000">
      <w:pPr>
        <w:pStyle w:val="Listaconvietas"/>
        <w:rPr>
          <w:color w:val="000000" w:themeColor="text1"/>
          <w:lang w:val="es-CO"/>
        </w:rPr>
      </w:pPr>
      <w:r w:rsidRPr="00883232">
        <w:rPr>
          <w:color w:val="000000" w:themeColor="text1"/>
          <w:lang w:val="es-CO"/>
        </w:rPr>
        <w:t>Al controlar PIB per cápita y porcentaje mayor de 65 años, la correlación parcial cambia a −0,252 (n = 180; p = 0,000657), en la dirección esperada.</w:t>
      </w:r>
    </w:p>
    <w:p w14:paraId="4D4E0A10" w14:textId="77777777" w:rsidR="00A73A4F" w:rsidRPr="00883232" w:rsidRDefault="00000000">
      <w:pPr>
        <w:pStyle w:val="Listaconvietas"/>
        <w:rPr>
          <w:color w:val="000000" w:themeColor="text1"/>
          <w:lang w:val="es-CO"/>
        </w:rPr>
      </w:pPr>
      <w:r w:rsidRPr="00883232">
        <w:rPr>
          <w:color w:val="000000" w:themeColor="text1"/>
          <w:lang w:val="es-CO"/>
        </w:rPr>
        <w:t>Como sensibilidad temporal, se comparó cobertura a diciembre de 2021 con mortalidad ocurrida desde enero de 2022. La correlación cruda sigue siendo positiva (</w:t>
      </w:r>
      <w:r w:rsidRPr="00883232">
        <w:rPr>
          <w:color w:val="000000" w:themeColor="text1"/>
        </w:rPr>
        <w:t>ρ</w:t>
      </w:r>
      <w:r w:rsidRPr="00883232">
        <w:rPr>
          <w:color w:val="000000" w:themeColor="text1"/>
          <w:lang w:val="es-CO"/>
        </w:rPr>
        <w:t xml:space="preserve"> = 0,495; n = 216; p &lt; 0,001), pero al controlar PIB y edad se reduce a 0,093 (n = 179; p = 0,214), sin significancia.</w:t>
      </w:r>
    </w:p>
    <w:p w14:paraId="45E4F62F" w14:textId="77777777" w:rsidR="00A73A4F" w:rsidRPr="00883232" w:rsidRDefault="00000000">
      <w:pPr>
        <w:rPr>
          <w:color w:val="000000" w:themeColor="text1"/>
          <w:lang w:val="es-CO"/>
        </w:rPr>
      </w:pPr>
      <w:r w:rsidRPr="00883232">
        <w:rPr>
          <w:color w:val="000000" w:themeColor="text1"/>
          <w:lang w:val="es-CO"/>
        </w:rPr>
        <w:t>El cambio de magnitud y signo al ajustar variables demuestra confusión: los países más envejecidos y con mejor registro también tendieron a vacunar más. Además, muchos países aumentaron su vacunación después de sufrir olas graves, lo que introduce causalidad inversa en una comparación acumulada.</w:t>
      </w:r>
    </w:p>
    <w:p w14:paraId="7BC531E7" w14:textId="77777777" w:rsidR="00A73A4F" w:rsidRPr="00883232" w:rsidRDefault="00000000">
      <w:pPr>
        <w:rPr>
          <w:color w:val="000000" w:themeColor="text1"/>
          <w:lang w:val="es-CO"/>
        </w:rPr>
      </w:pPr>
      <w:r w:rsidRPr="00883232">
        <w:rPr>
          <w:color w:val="000000" w:themeColor="text1"/>
          <w:lang w:val="es-CO"/>
        </w:rPr>
        <w:t>Conclusión H2: la prueba cruda rechaza una correlación nula, pero no respalda la dirección protectora planteada. Los análisis ajustados son inconsistentes entre sí. Con este diseño ecológico no es válido estimar eficacia vacunal ni afirmar causalidad.</w:t>
      </w:r>
    </w:p>
    <w:p w14:paraId="57185A09" w14:textId="77777777" w:rsidR="00A73A4F" w:rsidRPr="00883232" w:rsidRDefault="00000000">
      <w:pPr>
        <w:pStyle w:val="Ttulo1"/>
        <w:rPr>
          <w:color w:val="000000" w:themeColor="text1"/>
          <w:lang w:val="es-CO"/>
        </w:rPr>
      </w:pPr>
      <w:r w:rsidRPr="00883232">
        <w:rPr>
          <w:color w:val="000000" w:themeColor="text1"/>
          <w:lang w:val="es-CO"/>
        </w:rPr>
        <w:t xml:space="preserve">5. </w:t>
      </w:r>
      <w:proofErr w:type="spellStart"/>
      <w:r w:rsidRPr="00883232">
        <w:rPr>
          <w:color w:val="000000" w:themeColor="text1"/>
          <w:lang w:val="es-CO"/>
        </w:rPr>
        <w:t>Storytelling</w:t>
      </w:r>
      <w:proofErr w:type="spellEnd"/>
      <w:r w:rsidRPr="00883232">
        <w:rPr>
          <w:color w:val="000000" w:themeColor="text1"/>
          <w:lang w:val="es-CO"/>
        </w:rPr>
        <w:t>: de una crisis global a una decisión focalizada</w:t>
      </w:r>
    </w:p>
    <w:p w14:paraId="5C42F37E" w14:textId="77777777" w:rsidR="00A73A4F" w:rsidRPr="00883232" w:rsidRDefault="00000000">
      <w:pPr>
        <w:pStyle w:val="Ttulo2"/>
        <w:rPr>
          <w:color w:val="000000" w:themeColor="text1"/>
          <w:lang w:val="es-CO"/>
        </w:rPr>
      </w:pPr>
      <w:r w:rsidRPr="00883232">
        <w:rPr>
          <w:color w:val="000000" w:themeColor="text1"/>
          <w:lang w:val="es-CO"/>
        </w:rPr>
        <w:t>Acto 1 · La magnitud no fue constante</w:t>
      </w:r>
    </w:p>
    <w:p w14:paraId="0F841C04" w14:textId="77777777" w:rsidR="00A73A4F" w:rsidRPr="00883232" w:rsidRDefault="00000000">
      <w:pPr>
        <w:rPr>
          <w:color w:val="000000" w:themeColor="text1"/>
          <w:lang w:val="es-CO"/>
        </w:rPr>
      </w:pPr>
      <w:r w:rsidRPr="00883232">
        <w:rPr>
          <w:color w:val="000000" w:themeColor="text1"/>
          <w:lang w:val="es-CO"/>
        </w:rPr>
        <w:t>La pandemia dejó más de siete millones de muertes reportadas en el modelo. 2021 concentró 3.549.358 muertes, aproximadamente la mitad del total, mientras el máximo mensual de casos se observó en enero de 2022, con 94.694.159 casos. El pico de casos ocurrió después del año más mortal: casos y muertes no evolucionaron de forma paralela durante toda la pandemia.</w:t>
      </w:r>
    </w:p>
    <w:p w14:paraId="5A3386DD" w14:textId="77777777" w:rsidR="00A73A4F" w:rsidRPr="00883232" w:rsidRDefault="00000000">
      <w:pPr>
        <w:pStyle w:val="Ttulo2"/>
        <w:rPr>
          <w:color w:val="000000" w:themeColor="text1"/>
          <w:lang w:val="es-CO"/>
        </w:rPr>
      </w:pPr>
      <w:r w:rsidRPr="00883232">
        <w:rPr>
          <w:color w:val="000000" w:themeColor="text1"/>
          <w:lang w:val="es-CO"/>
        </w:rPr>
        <w:t>Acto 2 · El promedio global esconde brechas</w:t>
      </w:r>
    </w:p>
    <w:p w14:paraId="05C9BC15" w14:textId="77777777" w:rsidR="00A73A4F" w:rsidRPr="00883232" w:rsidRDefault="00000000">
      <w:pPr>
        <w:rPr>
          <w:color w:val="000000" w:themeColor="text1"/>
          <w:lang w:val="es-CO"/>
        </w:rPr>
      </w:pPr>
      <w:r w:rsidRPr="00883232">
        <w:rPr>
          <w:color w:val="000000" w:themeColor="text1"/>
          <w:lang w:val="es-CO"/>
        </w:rPr>
        <w:t>La mortalidad acumulada ponderada fue muy desigual: Sudamérica registró 3.104 muertes por millón, Europa 2.813 y Norteamérica 2.784; África registró 182 y Asia 347. Estas diferencias no deben leerse automáticamente como impacto real menor: la estructura etaria, el diagnóstico y el subregistro pueden cambiar sustancialmente la comparación.</w:t>
      </w:r>
    </w:p>
    <w:p w14:paraId="27412568" w14:textId="77777777" w:rsidR="00A73A4F" w:rsidRPr="00883232" w:rsidRDefault="00000000">
      <w:pPr>
        <w:rPr>
          <w:color w:val="000000" w:themeColor="text1"/>
          <w:lang w:val="es-CO"/>
        </w:rPr>
      </w:pPr>
      <w:r w:rsidRPr="00883232">
        <w:rPr>
          <w:color w:val="000000" w:themeColor="text1"/>
          <w:lang w:val="es-CO"/>
        </w:rPr>
        <w:t xml:space="preserve">En países individuales, Perú alcanzó 6.490 muertes por millón, seguido por Bulgaria con 5.706 y Bosnia y Herzegovina con 5.069. Esto justifica que el </w:t>
      </w:r>
      <w:proofErr w:type="spellStart"/>
      <w:r w:rsidRPr="00883232">
        <w:rPr>
          <w:color w:val="000000" w:themeColor="text1"/>
          <w:lang w:val="es-CO"/>
        </w:rPr>
        <w:t>dashboard</w:t>
      </w:r>
      <w:proofErr w:type="spellEnd"/>
      <w:r w:rsidRPr="00883232">
        <w:rPr>
          <w:color w:val="000000" w:themeColor="text1"/>
          <w:lang w:val="es-CO"/>
        </w:rPr>
        <w:t xml:space="preserve"> permita pasar del agregado global al territorio.</w:t>
      </w:r>
    </w:p>
    <w:p w14:paraId="0944CDF7" w14:textId="77777777" w:rsidR="00A73A4F" w:rsidRPr="00883232" w:rsidRDefault="00000000">
      <w:pPr>
        <w:pStyle w:val="Ttulo2"/>
        <w:rPr>
          <w:color w:val="000000" w:themeColor="text1"/>
          <w:lang w:val="es-CO"/>
        </w:rPr>
      </w:pPr>
      <w:r w:rsidRPr="00883232">
        <w:rPr>
          <w:color w:val="000000" w:themeColor="text1"/>
          <w:lang w:val="es-CO"/>
        </w:rPr>
        <w:t>Acto 3 · Dos aparentes paradojas</w:t>
      </w:r>
    </w:p>
    <w:p w14:paraId="2F9E45A3" w14:textId="77777777" w:rsidR="00A73A4F" w:rsidRPr="00883232" w:rsidRDefault="00000000">
      <w:pPr>
        <w:rPr>
          <w:color w:val="000000" w:themeColor="text1"/>
          <w:lang w:val="es-CO"/>
        </w:rPr>
      </w:pPr>
      <w:r w:rsidRPr="00883232">
        <w:rPr>
          <w:color w:val="000000" w:themeColor="text1"/>
          <w:lang w:val="es-CO"/>
        </w:rPr>
        <w:t>Los países más ricos muestran más mortalidad reportada, y los países más vacunados no muestran automáticamente menos mortalidad acumulada. Las aparentes paradojas se debilitan o cambian al introducir edad y PIB. El hallazgo central no es que el desarrollo o la vacunación sean dañinos, sino que comparar acumulados nacionales sin controlar contexto conduce a conclusiones engañosas.</w:t>
      </w:r>
    </w:p>
    <w:p w14:paraId="65E24DF0" w14:textId="77777777" w:rsidR="00A73A4F" w:rsidRPr="00883232" w:rsidRDefault="00000000">
      <w:pPr>
        <w:pStyle w:val="Ttulo2"/>
        <w:rPr>
          <w:color w:val="000000" w:themeColor="text1"/>
          <w:lang w:val="es-CO"/>
        </w:rPr>
      </w:pPr>
      <w:r w:rsidRPr="00883232">
        <w:rPr>
          <w:color w:val="000000" w:themeColor="text1"/>
          <w:lang w:val="es-CO"/>
        </w:rPr>
        <w:lastRenderedPageBreak/>
        <w:t>Acto 4 · De la observación a la acción</w:t>
      </w:r>
    </w:p>
    <w:p w14:paraId="35D4D438" w14:textId="77777777" w:rsidR="00A73A4F" w:rsidRPr="00883232" w:rsidRDefault="00000000">
      <w:pPr>
        <w:rPr>
          <w:color w:val="000000" w:themeColor="text1"/>
        </w:rPr>
      </w:pPr>
      <w:r w:rsidRPr="00883232">
        <w:rPr>
          <w:color w:val="000000" w:themeColor="text1"/>
          <w:lang w:val="es-CO"/>
        </w:rPr>
        <w:t xml:space="preserve">La decisión útil no es clasificar una política como “funciona/no funciona” con una correlación global. </w:t>
      </w:r>
      <w:r w:rsidRPr="00883232">
        <w:rPr>
          <w:color w:val="000000" w:themeColor="text1"/>
        </w:rPr>
        <w:t xml:space="preserve">Es </w:t>
      </w:r>
      <w:proofErr w:type="spellStart"/>
      <w:r w:rsidRPr="00883232">
        <w:rPr>
          <w:color w:val="000000" w:themeColor="text1"/>
        </w:rPr>
        <w:t>identificar</w:t>
      </w:r>
      <w:proofErr w:type="spellEnd"/>
      <w:r w:rsidRPr="00883232">
        <w:rPr>
          <w:color w:val="000000" w:themeColor="text1"/>
        </w:rPr>
        <w:t xml:space="preserve"> </w:t>
      </w:r>
      <w:proofErr w:type="spellStart"/>
      <w:r w:rsidRPr="00883232">
        <w:rPr>
          <w:color w:val="000000" w:themeColor="text1"/>
        </w:rPr>
        <w:t>territorios</w:t>
      </w:r>
      <w:proofErr w:type="spellEnd"/>
      <w:r w:rsidRPr="00883232">
        <w:rPr>
          <w:color w:val="000000" w:themeColor="text1"/>
        </w:rPr>
        <w:t xml:space="preserve"> </w:t>
      </w:r>
      <w:proofErr w:type="spellStart"/>
      <w:r w:rsidRPr="00883232">
        <w:rPr>
          <w:color w:val="000000" w:themeColor="text1"/>
        </w:rPr>
        <w:t>donde</w:t>
      </w:r>
      <w:proofErr w:type="spellEnd"/>
      <w:r w:rsidRPr="00883232">
        <w:rPr>
          <w:color w:val="000000" w:themeColor="text1"/>
        </w:rPr>
        <w:t xml:space="preserve"> coinciden:</w:t>
      </w:r>
    </w:p>
    <w:p w14:paraId="40DE2EA0" w14:textId="77777777" w:rsidR="00A73A4F" w:rsidRPr="00883232" w:rsidRDefault="00000000">
      <w:pPr>
        <w:pStyle w:val="Listaconnmeros"/>
        <w:rPr>
          <w:color w:val="000000" w:themeColor="text1"/>
          <w:lang w:val="es-CO"/>
        </w:rPr>
      </w:pPr>
      <w:r w:rsidRPr="00883232">
        <w:rPr>
          <w:color w:val="000000" w:themeColor="text1"/>
          <w:lang w:val="es-CO"/>
        </w:rPr>
        <w:t>mortalidad mensual elevada respecto de su continente;</w:t>
      </w:r>
    </w:p>
    <w:p w14:paraId="26AF9881" w14:textId="77777777" w:rsidR="00A73A4F" w:rsidRPr="00883232" w:rsidRDefault="00000000">
      <w:pPr>
        <w:pStyle w:val="Listaconnmeros"/>
        <w:rPr>
          <w:color w:val="000000" w:themeColor="text1"/>
          <w:lang w:val="es-CO"/>
        </w:rPr>
      </w:pPr>
      <w:r w:rsidRPr="00883232">
        <w:rPr>
          <w:color w:val="000000" w:themeColor="text1"/>
          <w:lang w:val="es-CO"/>
        </w:rPr>
        <w:t>brecha de cobertura frente al 70%;</w:t>
      </w:r>
    </w:p>
    <w:p w14:paraId="397A4150" w14:textId="77777777" w:rsidR="00A73A4F" w:rsidRPr="00883232" w:rsidRDefault="00000000">
      <w:pPr>
        <w:pStyle w:val="Listaconnmeros"/>
        <w:rPr>
          <w:color w:val="000000" w:themeColor="text1"/>
        </w:rPr>
      </w:pPr>
      <w:proofErr w:type="spellStart"/>
      <w:r w:rsidRPr="00883232">
        <w:rPr>
          <w:color w:val="000000" w:themeColor="text1"/>
        </w:rPr>
        <w:t>crecimiento</w:t>
      </w:r>
      <w:proofErr w:type="spellEnd"/>
      <w:r w:rsidRPr="00883232">
        <w:rPr>
          <w:color w:val="000000" w:themeColor="text1"/>
        </w:rPr>
        <w:t xml:space="preserve"> </w:t>
      </w:r>
      <w:proofErr w:type="spellStart"/>
      <w:r w:rsidRPr="00883232">
        <w:rPr>
          <w:color w:val="000000" w:themeColor="text1"/>
        </w:rPr>
        <w:t>reciente</w:t>
      </w:r>
      <w:proofErr w:type="spellEnd"/>
      <w:r w:rsidRPr="00883232">
        <w:rPr>
          <w:color w:val="000000" w:themeColor="text1"/>
        </w:rPr>
        <w:t xml:space="preserve"> de </w:t>
      </w:r>
      <w:proofErr w:type="spellStart"/>
      <w:r w:rsidRPr="00883232">
        <w:rPr>
          <w:color w:val="000000" w:themeColor="text1"/>
        </w:rPr>
        <w:t>incidencia</w:t>
      </w:r>
      <w:proofErr w:type="spellEnd"/>
      <w:r w:rsidRPr="00883232">
        <w:rPr>
          <w:color w:val="000000" w:themeColor="text1"/>
        </w:rPr>
        <w:t>;</w:t>
      </w:r>
    </w:p>
    <w:p w14:paraId="22287999" w14:textId="77777777" w:rsidR="00A73A4F" w:rsidRPr="00883232" w:rsidRDefault="00000000">
      <w:pPr>
        <w:pStyle w:val="Listaconnmeros"/>
        <w:rPr>
          <w:color w:val="000000" w:themeColor="text1"/>
          <w:lang w:val="es-CO"/>
        </w:rPr>
      </w:pPr>
      <w:r w:rsidRPr="00883232">
        <w:rPr>
          <w:color w:val="000000" w:themeColor="text1"/>
          <w:lang w:val="es-CO"/>
        </w:rPr>
        <w:t>alta proporción de adultos mayores; y</w:t>
      </w:r>
    </w:p>
    <w:p w14:paraId="05CDACC4" w14:textId="77777777" w:rsidR="00A73A4F" w:rsidRPr="00883232" w:rsidRDefault="00000000">
      <w:pPr>
        <w:pStyle w:val="Listaconnmeros"/>
        <w:rPr>
          <w:color w:val="000000" w:themeColor="text1"/>
          <w:lang w:val="es-CO"/>
        </w:rPr>
      </w:pPr>
      <w:r w:rsidRPr="00883232">
        <w:rPr>
          <w:color w:val="000000" w:themeColor="text1"/>
          <w:lang w:val="es-CO"/>
        </w:rPr>
        <w:t>señales de reporte incompleto o tasas inestables por baja población.</w:t>
      </w:r>
    </w:p>
    <w:p w14:paraId="3E6987F0" w14:textId="77777777" w:rsidR="00A73A4F" w:rsidRPr="00883232" w:rsidRDefault="00000000">
      <w:pPr>
        <w:rPr>
          <w:color w:val="000000" w:themeColor="text1"/>
          <w:lang w:val="es-CO"/>
        </w:rPr>
      </w:pPr>
      <w:r w:rsidRPr="00883232">
        <w:rPr>
          <w:color w:val="000000" w:themeColor="text1"/>
          <w:lang w:val="es-CO"/>
        </w:rPr>
        <w:t>Esa combinación permite priorizar vigilancia, comunicación y recursos sin confundir asociación con causalidad.</w:t>
      </w:r>
    </w:p>
    <w:p w14:paraId="7190C685" w14:textId="77777777" w:rsidR="00A73A4F" w:rsidRPr="00883232" w:rsidRDefault="00000000">
      <w:pPr>
        <w:pStyle w:val="Ttulo1"/>
        <w:rPr>
          <w:color w:val="000000" w:themeColor="text1"/>
        </w:rPr>
      </w:pPr>
      <w:r w:rsidRPr="00883232">
        <w:rPr>
          <w:color w:val="000000" w:themeColor="text1"/>
        </w:rPr>
        <w:t>6. Decisiones propuestas basadas en evidencia</w:t>
      </w:r>
    </w:p>
    <w:p w14:paraId="5A1CCF54" w14:textId="77777777" w:rsidR="00A73A4F" w:rsidRPr="00883232" w:rsidRDefault="00000000">
      <w:pPr>
        <w:pStyle w:val="Listaconnmeros"/>
        <w:rPr>
          <w:color w:val="000000" w:themeColor="text1"/>
          <w:lang w:val="es-CO"/>
        </w:rPr>
      </w:pPr>
      <w:r w:rsidRPr="00883232">
        <w:rPr>
          <w:color w:val="000000" w:themeColor="text1"/>
          <w:lang w:val="es-CO"/>
        </w:rPr>
        <w:t>Priorizar por tasa y tendencia, no por conteo absoluto. Usar mortalidad mensual por millón e incidencia por 100.000 para detectar territorios que empeoran.</w:t>
      </w:r>
    </w:p>
    <w:p w14:paraId="1E4AC2D4" w14:textId="77777777" w:rsidR="00A73A4F" w:rsidRPr="00883232" w:rsidRDefault="00000000">
      <w:pPr>
        <w:pStyle w:val="Listaconnmeros"/>
        <w:rPr>
          <w:color w:val="000000" w:themeColor="text1"/>
          <w:lang w:val="es-CO"/>
        </w:rPr>
      </w:pPr>
      <w:r w:rsidRPr="00883232">
        <w:rPr>
          <w:color w:val="000000" w:themeColor="text1"/>
          <w:lang w:val="es-CO"/>
        </w:rPr>
        <w:t>Cerrar brechas de cobertura de forma segmentada. Enfocar primero países con brecha positiva, población envejecida y mortalidad reciente por encima de la referencia continental.</w:t>
      </w:r>
    </w:p>
    <w:p w14:paraId="3520F56A" w14:textId="77777777" w:rsidR="00A73A4F" w:rsidRPr="00883232" w:rsidRDefault="00000000">
      <w:pPr>
        <w:pStyle w:val="Listaconnmeros"/>
        <w:rPr>
          <w:color w:val="000000" w:themeColor="text1"/>
          <w:lang w:val="es-CO"/>
        </w:rPr>
      </w:pPr>
      <w:r w:rsidRPr="00883232">
        <w:rPr>
          <w:color w:val="000000" w:themeColor="text1"/>
          <w:lang w:val="es-CO"/>
        </w:rPr>
        <w:t xml:space="preserve">Separar monitoreo de evaluación causal. El </w:t>
      </w:r>
      <w:proofErr w:type="spellStart"/>
      <w:r w:rsidRPr="00883232">
        <w:rPr>
          <w:color w:val="000000" w:themeColor="text1"/>
          <w:lang w:val="es-CO"/>
        </w:rPr>
        <w:t>dashboard</w:t>
      </w:r>
      <w:proofErr w:type="spellEnd"/>
      <w:r w:rsidRPr="00883232">
        <w:rPr>
          <w:color w:val="000000" w:themeColor="text1"/>
          <w:lang w:val="es-CO"/>
        </w:rPr>
        <w:t xml:space="preserve"> sirve para vigilancia y priorización; la eficacia de una intervención requiere diseños longitudinales o cuasiexperimentales.</w:t>
      </w:r>
    </w:p>
    <w:p w14:paraId="4C73B867" w14:textId="77777777" w:rsidR="00A73A4F" w:rsidRPr="00883232" w:rsidRDefault="00000000">
      <w:pPr>
        <w:pStyle w:val="Listaconnmeros"/>
        <w:rPr>
          <w:color w:val="000000" w:themeColor="text1"/>
          <w:lang w:val="es-CO"/>
        </w:rPr>
      </w:pPr>
      <w:r w:rsidRPr="00883232">
        <w:rPr>
          <w:color w:val="000000" w:themeColor="text1"/>
          <w:lang w:val="es-CO"/>
        </w:rPr>
        <w:t>Crear alertas de calidad. Marcar meses parciales, territorios sin dato, último mes reportado y microestados antes de ordenar rankings.</w:t>
      </w:r>
    </w:p>
    <w:p w14:paraId="0E76198B" w14:textId="77777777" w:rsidR="00A73A4F" w:rsidRPr="00883232" w:rsidRDefault="00000000">
      <w:pPr>
        <w:pStyle w:val="Listaconnmeros"/>
        <w:rPr>
          <w:color w:val="000000" w:themeColor="text1"/>
          <w:lang w:val="es-CO"/>
        </w:rPr>
      </w:pPr>
      <w:r w:rsidRPr="00883232">
        <w:rPr>
          <w:color w:val="000000" w:themeColor="text1"/>
          <w:lang w:val="es-CO"/>
        </w:rPr>
        <w:t>Solicitar datos adicionales. Para una siguiente iteración: muertes por edad, exceso de mortalidad, fecha y tipo de dosis, variantes, pruebas realizadas, hospitalizaciones y fechas de medidas públicas.</w:t>
      </w:r>
    </w:p>
    <w:p w14:paraId="63BE9FF8" w14:textId="77777777" w:rsidR="00A73A4F" w:rsidRPr="00883232" w:rsidRDefault="00000000">
      <w:pPr>
        <w:pStyle w:val="Listaconnmeros"/>
        <w:rPr>
          <w:color w:val="000000" w:themeColor="text1"/>
          <w:lang w:val="es-CO"/>
        </w:rPr>
      </w:pPr>
      <w:r w:rsidRPr="00883232">
        <w:rPr>
          <w:color w:val="000000" w:themeColor="text1"/>
          <w:lang w:val="es-CO"/>
        </w:rPr>
        <w:t>Repetir el análisis por estratos. Comparar países semejantes en ingreso, envejecimiento y continente y evaluar rezagos entre vacunación y mortalidad.</w:t>
      </w:r>
    </w:p>
    <w:p w14:paraId="230BC8F5" w14:textId="77777777" w:rsidR="00A73A4F" w:rsidRPr="00883232" w:rsidRDefault="00000000">
      <w:pPr>
        <w:pStyle w:val="Ttulo1"/>
        <w:rPr>
          <w:color w:val="000000" w:themeColor="text1"/>
        </w:rPr>
      </w:pPr>
      <w:r w:rsidRPr="00883232">
        <w:rPr>
          <w:color w:val="000000" w:themeColor="text1"/>
        </w:rPr>
        <w:t>7. Limitaciones</w:t>
      </w:r>
    </w:p>
    <w:p w14:paraId="16292D02" w14:textId="77777777" w:rsidR="00A73A4F" w:rsidRPr="00883232" w:rsidRDefault="00000000">
      <w:pPr>
        <w:pStyle w:val="Listaconvietas"/>
        <w:rPr>
          <w:color w:val="000000" w:themeColor="text1"/>
          <w:lang w:val="es-CO"/>
        </w:rPr>
      </w:pPr>
      <w:r w:rsidRPr="00883232">
        <w:rPr>
          <w:color w:val="000000" w:themeColor="text1"/>
          <w:lang w:val="es-CO"/>
        </w:rPr>
        <w:t>Falacia ecológica: las relaciones entre países no describen el riesgo individual.</w:t>
      </w:r>
    </w:p>
    <w:p w14:paraId="44B05C93" w14:textId="77777777" w:rsidR="00A73A4F" w:rsidRPr="00883232" w:rsidRDefault="00000000">
      <w:pPr>
        <w:pStyle w:val="Listaconvietas"/>
        <w:rPr>
          <w:color w:val="000000" w:themeColor="text1"/>
          <w:lang w:val="es-CO"/>
        </w:rPr>
      </w:pPr>
      <w:r w:rsidRPr="00883232">
        <w:rPr>
          <w:color w:val="000000" w:themeColor="text1"/>
          <w:lang w:val="es-CO"/>
        </w:rPr>
        <w:t>Temporalidad: la mortalidad acumulada incluye muertes anteriores al inicio de la vacunación.</w:t>
      </w:r>
    </w:p>
    <w:p w14:paraId="3CDC4BBE" w14:textId="77777777" w:rsidR="00A73A4F" w:rsidRPr="00883232" w:rsidRDefault="00000000">
      <w:pPr>
        <w:pStyle w:val="Listaconvietas"/>
        <w:rPr>
          <w:color w:val="000000" w:themeColor="text1"/>
          <w:lang w:val="es-CO"/>
        </w:rPr>
      </w:pPr>
      <w:r w:rsidRPr="00883232">
        <w:rPr>
          <w:color w:val="000000" w:themeColor="text1"/>
          <w:lang w:val="es-CO"/>
        </w:rPr>
        <w:t>Causalidad inversa: países más golpeados pudieron acelerar sus campañas.</w:t>
      </w:r>
    </w:p>
    <w:p w14:paraId="6A5297C8" w14:textId="77777777" w:rsidR="00A73A4F" w:rsidRPr="00883232" w:rsidRDefault="00000000">
      <w:pPr>
        <w:pStyle w:val="Listaconvietas"/>
        <w:rPr>
          <w:color w:val="000000" w:themeColor="text1"/>
          <w:lang w:val="es-CO"/>
        </w:rPr>
      </w:pPr>
      <w:r w:rsidRPr="00883232">
        <w:rPr>
          <w:color w:val="000000" w:themeColor="text1"/>
          <w:lang w:val="es-CO"/>
        </w:rPr>
        <w:t>Confusión residual: edad, variantes, capacidad hospitalaria, políticas, diagnóstico y comportamiento no están completamente controlados.</w:t>
      </w:r>
    </w:p>
    <w:p w14:paraId="7D95B2BD" w14:textId="77777777" w:rsidR="00A73A4F" w:rsidRPr="00883232" w:rsidRDefault="00000000">
      <w:pPr>
        <w:pStyle w:val="Listaconvietas"/>
        <w:rPr>
          <w:color w:val="000000" w:themeColor="text1"/>
          <w:lang w:val="es-CO"/>
        </w:rPr>
      </w:pPr>
      <w:r w:rsidRPr="00883232">
        <w:rPr>
          <w:color w:val="000000" w:themeColor="text1"/>
          <w:lang w:val="es-CO"/>
        </w:rPr>
        <w:t>Subregistro y comparabilidad: casos y muertes dependen de sistemas nacionales de prueba y certificación.</w:t>
      </w:r>
    </w:p>
    <w:p w14:paraId="72F6E9C1" w14:textId="77777777" w:rsidR="00A73A4F" w:rsidRPr="00883232" w:rsidRDefault="00000000">
      <w:pPr>
        <w:pStyle w:val="Listaconvietas"/>
        <w:rPr>
          <w:color w:val="000000" w:themeColor="text1"/>
          <w:lang w:val="es-CO"/>
        </w:rPr>
      </w:pPr>
      <w:r w:rsidRPr="00883232">
        <w:rPr>
          <w:color w:val="000000" w:themeColor="text1"/>
          <w:lang w:val="es-CO"/>
        </w:rPr>
        <w:t>Datos faltantes: H1 usa 195 territorios, H2 217 y los ajustes menos observaciones; la ausencia de datos puede no ser aleatoria.</w:t>
      </w:r>
    </w:p>
    <w:p w14:paraId="05727CF0" w14:textId="77777777" w:rsidR="00A73A4F" w:rsidRPr="00883232" w:rsidRDefault="00000000">
      <w:pPr>
        <w:pStyle w:val="Listaconvietas"/>
        <w:rPr>
          <w:color w:val="000000" w:themeColor="text1"/>
          <w:lang w:val="es-CO"/>
        </w:rPr>
      </w:pPr>
      <w:r w:rsidRPr="00883232">
        <w:rPr>
          <w:color w:val="000000" w:themeColor="text1"/>
          <w:lang w:val="es-CO"/>
        </w:rPr>
        <w:t>Variables estructurales fijas: PIB y demografía se tratan como atributos del país aunque pudieron variar durante el periodo.</w:t>
      </w:r>
    </w:p>
    <w:p w14:paraId="142FC55A" w14:textId="77777777" w:rsidR="00A73A4F" w:rsidRPr="00883232" w:rsidRDefault="00000000">
      <w:pPr>
        <w:pStyle w:val="Listaconvietas"/>
        <w:rPr>
          <w:color w:val="000000" w:themeColor="text1"/>
          <w:lang w:val="es-CO"/>
        </w:rPr>
      </w:pPr>
      <w:r w:rsidRPr="00883232">
        <w:rPr>
          <w:color w:val="000000" w:themeColor="text1"/>
          <w:lang w:val="es-CO"/>
        </w:rPr>
        <w:t>Microestados: tasas por millón pueden ser inestables con poblaciones pequeñas.</w:t>
      </w:r>
    </w:p>
    <w:p w14:paraId="07B2D016" w14:textId="77777777" w:rsidR="00A73A4F" w:rsidRPr="00883232" w:rsidRDefault="00000000">
      <w:pPr>
        <w:pStyle w:val="Listaconvietas"/>
        <w:rPr>
          <w:color w:val="000000" w:themeColor="text1"/>
          <w:lang w:val="es-CO"/>
        </w:rPr>
      </w:pPr>
      <w:r w:rsidRPr="00883232">
        <w:rPr>
          <w:color w:val="000000" w:themeColor="text1"/>
          <w:lang w:val="es-CO"/>
        </w:rPr>
        <w:t>Periodo final incompleto: agosto de 2024 solo llega al día 14.</w:t>
      </w:r>
    </w:p>
    <w:p w14:paraId="71E58CEB" w14:textId="77777777" w:rsidR="00A73A4F" w:rsidRPr="00883232" w:rsidRDefault="00000000">
      <w:pPr>
        <w:pStyle w:val="Listaconvietas"/>
        <w:rPr>
          <w:color w:val="000000" w:themeColor="text1"/>
          <w:lang w:val="es-CO"/>
        </w:rPr>
      </w:pPr>
      <w:r w:rsidRPr="00883232">
        <w:rPr>
          <w:color w:val="000000" w:themeColor="text1"/>
          <w:lang w:val="es-CO"/>
        </w:rPr>
        <w:t>Pruebas múltiples: el resultado limítrofe de Mann–Whitney debe interpretarse con cautela y junto con el resto de la evidencia.</w:t>
      </w:r>
    </w:p>
    <w:p w14:paraId="0E5C04AB" w14:textId="77777777" w:rsidR="00A73A4F" w:rsidRPr="00883232" w:rsidRDefault="00000000">
      <w:pPr>
        <w:pStyle w:val="Listaconvietas"/>
        <w:rPr>
          <w:color w:val="000000" w:themeColor="text1"/>
          <w:lang w:val="es-CO"/>
        </w:rPr>
      </w:pPr>
      <w:r w:rsidRPr="00883232">
        <w:rPr>
          <w:color w:val="000000" w:themeColor="text1"/>
          <w:lang w:val="es-CO"/>
        </w:rPr>
        <w:t>Umbral de 70%: se usa como referencia analítica para el dashboard, no como meta sanitaria universal.</w:t>
      </w:r>
    </w:p>
    <w:p w14:paraId="7B2BB9CF" w14:textId="77777777" w:rsidR="00A73A4F" w:rsidRPr="00883232" w:rsidRDefault="00000000">
      <w:pPr>
        <w:pStyle w:val="Ttulo1"/>
        <w:rPr>
          <w:color w:val="000000" w:themeColor="text1"/>
          <w:lang w:val="es-CO"/>
        </w:rPr>
      </w:pPr>
      <w:r w:rsidRPr="00883232">
        <w:rPr>
          <w:color w:val="000000" w:themeColor="text1"/>
          <w:lang w:val="es-CO"/>
        </w:rPr>
        <w:t>8. Conclusión general</w:t>
      </w:r>
    </w:p>
    <w:p w14:paraId="5784220C" w14:textId="77777777" w:rsidR="00A73A4F" w:rsidRPr="00883232" w:rsidRDefault="00000000">
      <w:pPr>
        <w:rPr>
          <w:color w:val="000000" w:themeColor="text1"/>
          <w:lang w:val="es-CO"/>
        </w:rPr>
      </w:pPr>
      <w:r w:rsidRPr="00883232">
        <w:rPr>
          <w:color w:val="000000" w:themeColor="text1"/>
          <w:lang w:val="es-CO"/>
        </w:rPr>
        <w:t xml:space="preserve">El proyecto convierte el registro histórico en una herramienta de vigilancia comparable, pero la validación estadística obliga a una narrativa prudente. Hay asociaciones entre PIB, vacunación y mortalidad reportada; sus </w:t>
      </w:r>
      <w:r w:rsidRPr="00883232">
        <w:rPr>
          <w:color w:val="000000" w:themeColor="text1"/>
          <w:lang w:val="es-CO"/>
        </w:rPr>
        <w:lastRenderedPageBreak/>
        <w:t>direcciones crudas son contrarias a lo esperado y cambian al ajustar variables de contexto. La recomendación es usar los KPIs para priorizar territorios y monitorear tendencias, mientras se reservan las afirmaciones causales para análisis con mejor control temporal, demográfico y epidemiológico.</w:t>
      </w:r>
    </w:p>
    <w:p w14:paraId="031B1D20" w14:textId="77777777" w:rsidR="00A73A4F" w:rsidRPr="00883232" w:rsidRDefault="00000000">
      <w:pPr>
        <w:rPr>
          <w:color w:val="000000" w:themeColor="text1"/>
          <w:lang w:val="es-CO"/>
        </w:rPr>
      </w:pPr>
      <w:r w:rsidRPr="00883232">
        <w:rPr>
          <w:color w:val="000000" w:themeColor="text1"/>
          <w:lang w:val="es-CO"/>
        </w:rPr>
        <w:t>Los cálculos pueden reproducirse con \</w:t>
      </w:r>
      <w:r w:rsidRPr="00883232">
        <w:rPr>
          <w:rFonts w:ascii="Consolas" w:hAnsi="Consolas"/>
          <w:color w:val="000000" w:themeColor="text1"/>
          <w:sz w:val="18"/>
          <w:lang w:val="es-CO"/>
        </w:rPr>
        <w:t>validacion_estadistica.py\</w:t>
      </w:r>
      <w:r w:rsidRPr="00883232">
        <w:rPr>
          <w:color w:val="000000" w:themeColor="text1"/>
          <w:lang w:val="es-CO"/>
        </w:rPr>
        <w:t>. El script genera en \</w:t>
      </w:r>
      <w:r w:rsidRPr="00883232">
        <w:rPr>
          <w:rFonts w:ascii="Consolas" w:hAnsi="Consolas"/>
          <w:color w:val="000000" w:themeColor="text1"/>
          <w:sz w:val="18"/>
          <w:lang w:val="es-CO"/>
        </w:rPr>
        <w:t>resultados/\</w:t>
      </w:r>
      <w:r w:rsidRPr="00883232">
        <w:rPr>
          <w:color w:val="000000" w:themeColor="text1"/>
          <w:lang w:val="es-CO"/>
        </w:rPr>
        <w:t xml:space="preserve"> las pruebas, los KPIs y las tablas anual, continental, de grupos de vacunación y de países con mayor mortalidad.</w:t>
      </w:r>
    </w:p>
    <w:sectPr w:rsidR="00A73A4F" w:rsidRPr="00883232" w:rsidSect="00034616">
      <w:headerReference w:type="default" r:id="rId8"/>
      <w:footerReference w:type="default" r:id="rId9"/>
      <w:pgSz w:w="12240" w:h="15840"/>
      <w:pgMar w:top="1123" w:right="1224" w:bottom="1037"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CE8A20" w14:textId="77777777" w:rsidR="00C34A4B" w:rsidRDefault="00C34A4B">
      <w:pPr>
        <w:spacing w:after="0" w:line="240" w:lineRule="auto"/>
      </w:pPr>
      <w:r>
        <w:separator/>
      </w:r>
    </w:p>
  </w:endnote>
  <w:endnote w:type="continuationSeparator" w:id="0">
    <w:p w14:paraId="2F20A847" w14:textId="77777777" w:rsidR="00C34A4B" w:rsidRDefault="00C34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6F2FFB" w14:textId="447400EE" w:rsidR="00A73A4F" w:rsidRPr="00883232" w:rsidRDefault="00A73A4F">
    <w:pPr>
      <w:pStyle w:val="Piedepgina"/>
      <w:jc w:val="center"/>
      <w:rPr>
        <w:lang w:val="es-C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55FFD4" w14:textId="77777777" w:rsidR="00C34A4B" w:rsidRDefault="00C34A4B">
      <w:pPr>
        <w:spacing w:after="0" w:line="240" w:lineRule="auto"/>
      </w:pPr>
      <w:r>
        <w:separator/>
      </w:r>
    </w:p>
  </w:footnote>
  <w:footnote w:type="continuationSeparator" w:id="0">
    <w:p w14:paraId="351FC0F0" w14:textId="77777777" w:rsidR="00C34A4B" w:rsidRDefault="00C34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0833E2" w14:textId="612D2BF2" w:rsidR="00A73A4F" w:rsidRDefault="00A73A4F">
    <w:pPr>
      <w:pStyle w:val="Descripcin"/>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78755353">
    <w:abstractNumId w:val="8"/>
  </w:num>
  <w:num w:numId="2" w16cid:durableId="257636172">
    <w:abstractNumId w:val="6"/>
  </w:num>
  <w:num w:numId="3" w16cid:durableId="1738090825">
    <w:abstractNumId w:val="5"/>
  </w:num>
  <w:num w:numId="4" w16cid:durableId="1371880393">
    <w:abstractNumId w:val="4"/>
  </w:num>
  <w:num w:numId="5" w16cid:durableId="2031175384">
    <w:abstractNumId w:val="7"/>
  </w:num>
  <w:num w:numId="6" w16cid:durableId="338701193">
    <w:abstractNumId w:val="3"/>
  </w:num>
  <w:num w:numId="7" w16cid:durableId="1685739107">
    <w:abstractNumId w:val="2"/>
  </w:num>
  <w:num w:numId="8" w16cid:durableId="256209521">
    <w:abstractNumId w:val="1"/>
  </w:num>
  <w:num w:numId="9" w16cid:durableId="62661953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83232"/>
    <w:rsid w:val="00A73A4F"/>
    <w:rsid w:val="00AA1D8D"/>
    <w:rsid w:val="00B47730"/>
    <w:rsid w:val="00BE4721"/>
    <w:rsid w:val="00C34A4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F937D"/>
  <w14:defaultImageDpi w14:val="300"/>
  <w15:docId w15:val="{0A201D51-EE8F-7F43-B856-E90CF19F6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26313F"/>
      <w:sz w:val="20"/>
    </w:rPr>
  </w:style>
  <w:style w:type="paragraph" w:styleId="Ttulo1">
    <w:name w:val="heading 1"/>
    <w:basedOn w:val="Normal"/>
    <w:next w:val="Normal"/>
    <w:link w:val="Ttulo1Car"/>
    <w:uiPriority w:val="9"/>
    <w:qFormat/>
    <w:rsid w:val="00FC693F"/>
    <w:pPr>
      <w:keepNext/>
      <w:keepLines/>
      <w:spacing w:before="280"/>
      <w:outlineLvl w:val="0"/>
    </w:pPr>
    <w:rPr>
      <w:rFonts w:asciiTheme="majorHAnsi" w:eastAsiaTheme="majorEastAsia" w:hAnsiTheme="majorHAnsi" w:cstheme="majorBidi"/>
      <w:b/>
      <w:bCs/>
      <w:color w:val="143E61"/>
      <w:sz w:val="28"/>
      <w:szCs w:val="28"/>
    </w:rPr>
  </w:style>
  <w:style w:type="paragraph" w:styleId="Ttulo2">
    <w:name w:val="heading 2"/>
    <w:basedOn w:val="Normal"/>
    <w:next w:val="Normal"/>
    <w:link w:val="Ttulo2Car"/>
    <w:uiPriority w:val="9"/>
    <w:unhideWhenUsed/>
    <w:qFormat/>
    <w:rsid w:val="00FC693F"/>
    <w:pPr>
      <w:keepNext/>
      <w:keepLines/>
      <w:spacing w:before="280"/>
      <w:outlineLvl w:val="1"/>
    </w:pPr>
    <w:rPr>
      <w:rFonts w:asciiTheme="majorHAnsi" w:eastAsiaTheme="majorEastAsia" w:hAnsiTheme="majorHAnsi" w:cstheme="majorBidi"/>
      <w:b/>
      <w:bCs/>
      <w:color w:val="1C5980"/>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280" w:line="240" w:lineRule="auto"/>
      <w:contextualSpacing/>
    </w:pPr>
    <w:rPr>
      <w:rFonts w:asciiTheme="majorHAnsi" w:eastAsiaTheme="majorEastAsia" w:hAnsiTheme="majorHAnsi" w:cstheme="majorBidi"/>
      <w:b/>
      <w:color w:val="142A44"/>
      <w:spacing w:val="5"/>
      <w:kern w:val="28"/>
      <w:sz w:val="4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1706</Words>
  <Characters>9387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RICARDO QUIROS GARCIA</cp:lastModifiedBy>
  <cp:revision>2</cp:revision>
  <dcterms:created xsi:type="dcterms:W3CDTF">2026-10-22T01:20:00Z</dcterms:created>
  <dcterms:modified xsi:type="dcterms:W3CDTF">2026-10-22T01:20:00Z</dcterms:modified>
  <cp:category/>
</cp:coreProperties>
</file>